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2018年绍兴市国民经济和社会发展</w:t>
      </w:r>
    </w:p>
    <w:p>
      <w:pPr>
        <w:jc w:val="center"/>
        <w:rPr>
          <w:rFonts w:hint="eastAsia" w:ascii="宋体" w:hAnsi="宋体" w:eastAsia="宋体" w:cs="宋体"/>
          <w:sz w:val="44"/>
          <w:szCs w:val="44"/>
        </w:rPr>
      </w:pPr>
      <w:r>
        <w:rPr>
          <w:rFonts w:hint="eastAsia" w:ascii="宋体" w:hAnsi="宋体" w:eastAsia="宋体" w:cs="宋体"/>
          <w:sz w:val="44"/>
          <w:szCs w:val="44"/>
        </w:rPr>
        <w:t>统计公报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90" w:lineRule="atLeast"/>
        <w:ind w:left="0" w:leftChars="0" w:right="0" w:rightChars="0" w:firstLine="632" w:firstLineChars="200"/>
        <w:jc w:val="left"/>
        <w:textAlignment w:val="auto"/>
        <w:outlineLvl w:val="9"/>
        <w:rPr>
          <w:rStyle w:val="4"/>
          <w:rFonts w:hint="eastAsia" w:ascii="宋体" w:hAnsi="宋体" w:eastAsia="宋体" w:cs="宋体"/>
          <w:color w:val="333333"/>
          <w:sz w:val="31"/>
          <w:szCs w:val="31"/>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90" w:lineRule="atLeast"/>
        <w:ind w:left="0" w:leftChars="0" w:right="0" w:rightChars="0" w:firstLine="632" w:firstLineChars="200"/>
        <w:jc w:val="left"/>
        <w:textAlignment w:val="auto"/>
        <w:outlineLvl w:val="9"/>
      </w:pPr>
      <w:r>
        <w:rPr>
          <w:rStyle w:val="4"/>
          <w:rFonts w:hint="eastAsia" w:ascii="宋体" w:hAnsi="宋体" w:eastAsia="宋体" w:cs="宋体"/>
          <w:color w:val="333333"/>
          <w:sz w:val="31"/>
          <w:szCs w:val="31"/>
        </w:rPr>
        <w:t>2018年，绍兴市坚持以习近平新时代中国特色社会主义思想为指导，坚定践行“八八战略”，真落实高质量发展要求，坚持稳中求进工作总基调，凝心聚力谋发展，齐心协力搞建设，合力唱响“双城记”，齐声念好“两业经”，精心打造“活力城”，全力打好三大攻坚战，积极推进全市经济社会高质量发展。</w:t>
      </w:r>
    </w:p>
    <w:p>
      <w:pPr>
        <w:pStyle w:val="2"/>
        <w:keepNext w:val="0"/>
        <w:keepLines w:val="0"/>
        <w:widowControl/>
        <w:suppressLineNumbers w:val="0"/>
        <w:spacing w:before="0" w:beforeAutospacing="0" w:after="0" w:afterAutospacing="0" w:line="540" w:lineRule="atLeast"/>
        <w:ind w:left="0" w:right="0" w:firstLine="645"/>
        <w:jc w:val="left"/>
      </w:pPr>
      <w:r>
        <w:rPr>
          <w:rFonts w:ascii="黑体" w:hAnsi="宋体" w:eastAsia="黑体" w:cs="黑体"/>
          <w:b w:val="0"/>
          <w:color w:val="000000"/>
          <w:sz w:val="31"/>
          <w:szCs w:val="31"/>
        </w:rPr>
        <w:t>一、综合</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初步核算，2018年全市生产总值（GDP）5417亿元，比上年增长7.1%。其中第一产业增加值196亿元，增长2.3%；第二产业增加值2612亿元，增长6.9%；第三产业增加值2609亿元，增长7.7%。三次产业增加值结构由上年的4.0︰48.8︰47.2调整为3.6︰48.2︰48.2。人均生产总值107853元（按年平均汇率6.6174折算为16298美元），按可比价计算，比上年增长6.6%。</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新动能加快发展。规模以上工业中，数字经济核心产业、节能环保、健康产品、高端装备、时尚制造业增加值分别增长8.7%、9.6%、12.6%、11.0%、6.3%，占比分别为4.8%、10.4%、7.2%、19.0%、13.6%；高技术、高新技术、装备制造、战略性新兴产业增加值分别增长14.5%、10.1%、9.2%、15.3%，占比分别为10.1%、48.5%、29.7%、41.5%。在战略性新兴产业中，新一代信息技术产业、生物产业增加值分别增长7.4%、25.4%。</w:t>
      </w:r>
    </w:p>
    <w:p>
      <w:pPr>
        <w:pStyle w:val="2"/>
        <w:keepNext w:val="0"/>
        <w:keepLines w:val="0"/>
        <w:widowControl/>
        <w:suppressLineNumbers w:val="0"/>
        <w:spacing w:before="0" w:beforeAutospacing="0" w:after="0" w:afterAutospacing="0" w:line="540" w:lineRule="atLeast"/>
        <w:ind w:left="0" w:right="0" w:firstLine="645"/>
        <w:jc w:val="left"/>
      </w:pPr>
      <w:r>
        <w:rPr>
          <w:rFonts w:hint="eastAsia" w:ascii="宋体" w:hAnsi="宋体" w:eastAsia="宋体" w:cs="宋体"/>
          <w:b w:val="0"/>
          <w:color w:val="333333"/>
          <w:sz w:val="31"/>
          <w:szCs w:val="31"/>
        </w:rPr>
        <w:t>规模以上工业新产品产值同比增长23.3%，新产品产值率39.3%，同比提高3.7个百分点。碳纤维增强复合材料、太阳能电池、工业机器人等产量快速增长，分别增长418.8%、29.3%、10.0%。规模以上战略性新兴服务业营业收入增长22.2%。网络零售额535亿元，增长25.6%，居民网络消费597亿元，增长25.7%。跨境电商网络零售出口9亿元，同比增长31.8%。</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旧动能改造提升。开展工业园区整合提升和市区印染化工电镀产业改造提升，嵊州厨具、新昌轴承列入省级分行业试点，“中欧时尚梦工厂</w:t>
      </w:r>
      <w:r>
        <w:rPr>
          <w:rFonts w:ascii="Calibri" w:hAnsi="Calibri" w:eastAsia="宋体" w:cs="Calibri"/>
          <w:b w:val="0"/>
          <w:color w:val="333333"/>
          <w:sz w:val="31"/>
          <w:szCs w:val="31"/>
          <w:shd w:val="clear" w:fill="FFFFFF"/>
        </w:rPr>
        <w:t>”</w:t>
      </w:r>
      <w:r>
        <w:rPr>
          <w:rFonts w:hint="eastAsia" w:ascii="宋体" w:hAnsi="宋体" w:eastAsia="宋体" w:cs="宋体"/>
          <w:b w:val="0"/>
          <w:color w:val="333333"/>
          <w:sz w:val="31"/>
          <w:szCs w:val="31"/>
          <w:shd w:val="clear" w:fill="FFFFFF"/>
        </w:rPr>
        <w:t>投入运营。规模以上工业中，五大传统制造业增加值虽增长5.6%，但利润增长24.7%。其中纺织、化工、珍珠利润分别增长22.1%、36.9%、157.2%。</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供给侧结构性改革深入推进。深化低效整治，淘汰落后产能企业348家，整治“低散乱</w:t>
      </w:r>
      <w:r>
        <w:rPr>
          <w:rFonts w:hint="default" w:ascii="Calibri" w:hAnsi="Calibri" w:eastAsia="宋体" w:cs="Calibri"/>
          <w:b w:val="0"/>
          <w:color w:val="333333"/>
          <w:sz w:val="31"/>
          <w:szCs w:val="31"/>
          <w:shd w:val="clear" w:fill="FFFFFF"/>
        </w:rPr>
        <w:t>”</w:t>
      </w:r>
      <w:r>
        <w:rPr>
          <w:rFonts w:hint="eastAsia" w:ascii="宋体" w:hAnsi="宋体" w:eastAsia="宋体" w:cs="宋体"/>
          <w:b w:val="0"/>
          <w:color w:val="333333"/>
          <w:sz w:val="31"/>
          <w:szCs w:val="31"/>
          <w:shd w:val="clear" w:fill="FFFFFF"/>
        </w:rPr>
        <w:t>企业2549家，处置“僵尸企业</w:t>
      </w:r>
      <w:r>
        <w:rPr>
          <w:rFonts w:hint="default" w:ascii="Calibri" w:hAnsi="Calibri" w:eastAsia="宋体" w:cs="Calibri"/>
          <w:b w:val="0"/>
          <w:color w:val="333333"/>
          <w:sz w:val="31"/>
          <w:szCs w:val="31"/>
          <w:shd w:val="clear" w:fill="FFFFFF"/>
        </w:rPr>
        <w:t>”</w:t>
      </w:r>
      <w:r>
        <w:rPr>
          <w:rFonts w:hint="eastAsia" w:ascii="宋体" w:hAnsi="宋体" w:eastAsia="宋体" w:cs="宋体"/>
          <w:b w:val="0"/>
          <w:color w:val="333333"/>
          <w:sz w:val="31"/>
          <w:szCs w:val="31"/>
          <w:shd w:val="clear" w:fill="FFFFFF"/>
        </w:rPr>
        <w:t>91家，获省“腾笼换鸟</w:t>
      </w:r>
      <w:r>
        <w:rPr>
          <w:rFonts w:hint="default" w:ascii="Calibri" w:hAnsi="Calibri" w:eastAsia="宋体" w:cs="Calibri"/>
          <w:b w:val="0"/>
          <w:color w:val="333333"/>
          <w:sz w:val="31"/>
          <w:szCs w:val="31"/>
          <w:shd w:val="clear" w:fill="FFFFFF"/>
        </w:rPr>
        <w:t>”</w:t>
      </w:r>
      <w:r>
        <w:rPr>
          <w:rFonts w:hint="eastAsia" w:ascii="宋体" w:hAnsi="宋体" w:eastAsia="宋体" w:cs="宋体"/>
          <w:b w:val="0"/>
          <w:color w:val="333333"/>
          <w:sz w:val="31"/>
          <w:szCs w:val="31"/>
          <w:shd w:val="clear" w:fill="FFFFFF"/>
        </w:rPr>
        <w:t>考核六连冠。规模以上工业企业产能利用率80.4%。年末商品房待售面积同比下降19.7%，其中，商品住宅待售面积下降38.6%。规模以上工业企业资产负债率55.0%，处于风险临界点以内。</w:t>
      </w:r>
    </w:p>
    <w:p>
      <w:pPr>
        <w:pStyle w:val="2"/>
        <w:keepNext w:val="0"/>
        <w:keepLines w:val="0"/>
        <w:widowControl/>
        <w:suppressLineNumbers w:val="0"/>
        <w:shd w:val="clear" w:fill="FFFFFF"/>
        <w:spacing w:before="0" w:beforeAutospacing="0" w:after="0" w:afterAutospacing="0" w:line="540" w:lineRule="atLeast"/>
        <w:ind w:left="0" w:right="0" w:firstLine="645"/>
        <w:jc w:val="left"/>
        <w:rPr>
          <w:rFonts w:hint="eastAsia" w:ascii="宋体" w:hAnsi="宋体" w:eastAsia="宋体" w:cs="宋体"/>
          <w:b w:val="0"/>
          <w:color w:val="333333"/>
          <w:sz w:val="31"/>
          <w:szCs w:val="31"/>
          <w:shd w:val="clear" w:fill="FFFFFF"/>
        </w:rPr>
      </w:pPr>
      <w:r>
        <w:rPr>
          <w:rFonts w:hint="eastAsia" w:ascii="宋体" w:hAnsi="宋体" w:eastAsia="宋体" w:cs="宋体"/>
          <w:b w:val="0"/>
          <w:color w:val="333333"/>
          <w:sz w:val="31"/>
          <w:szCs w:val="31"/>
          <w:shd w:val="clear" w:fill="FFFFFF"/>
        </w:rPr>
        <w:t>居民消费价格比上年上涨2.4%。调查的八大类商品价格“六涨一平一跌”（详见表1）。工业生产者出厂价格和购进价格分别上涨6.9%和7.1%。</w:t>
      </w:r>
    </w:p>
    <w:p>
      <w:pPr>
        <w:pStyle w:val="2"/>
        <w:keepNext w:val="0"/>
        <w:keepLines w:val="0"/>
        <w:widowControl/>
        <w:suppressLineNumbers w:val="0"/>
        <w:shd w:val="clear" w:fill="FFFFFF"/>
        <w:spacing w:before="0" w:beforeAutospacing="0" w:after="0" w:afterAutospacing="0" w:line="540" w:lineRule="atLeast"/>
        <w:ind w:left="0" w:leftChars="0" w:right="0" w:firstLine="0" w:firstLineChars="0"/>
        <w:jc w:val="center"/>
        <w:rPr>
          <w:rFonts w:hint="eastAsia" w:ascii="宋体" w:hAnsi="宋体" w:eastAsia="宋体" w:cs="宋体"/>
          <w:b w:val="0"/>
          <w:color w:val="333333"/>
          <w:sz w:val="31"/>
          <w:szCs w:val="31"/>
          <w:shd w:val="clear" w:fill="FFFFFF"/>
        </w:rPr>
      </w:pPr>
      <w:r>
        <w:rPr>
          <w:rFonts w:hint="eastAsia" w:ascii="黑体" w:hAnsi="宋体" w:eastAsia="黑体" w:cs="黑体"/>
          <w:b w:val="0"/>
          <w:color w:val="444444"/>
          <w:sz w:val="28"/>
          <w:szCs w:val="28"/>
        </w:rPr>
        <w:t>表</w:t>
      </w:r>
      <w:r>
        <w:rPr>
          <w:rFonts w:hint="default" w:ascii="Calibri" w:hAnsi="Calibri" w:eastAsia="微软雅黑" w:cs="Calibri"/>
          <w:b w:val="0"/>
          <w:color w:val="444444"/>
          <w:sz w:val="28"/>
          <w:szCs w:val="28"/>
        </w:rPr>
        <w:t>1</w:t>
      </w:r>
      <w:r>
        <w:rPr>
          <w:rFonts w:hint="eastAsia" w:ascii="黑体" w:hAnsi="宋体" w:eastAsia="黑体" w:cs="黑体"/>
          <w:b w:val="0"/>
          <w:color w:val="444444"/>
          <w:sz w:val="28"/>
          <w:szCs w:val="28"/>
        </w:rPr>
        <w:t>：</w:t>
      </w:r>
      <w:r>
        <w:rPr>
          <w:rFonts w:hint="default" w:ascii="Calibri" w:hAnsi="Calibri" w:eastAsia="微软雅黑" w:cs="Calibri"/>
          <w:b w:val="0"/>
          <w:color w:val="444444"/>
          <w:sz w:val="28"/>
          <w:szCs w:val="28"/>
        </w:rPr>
        <w:t>2018</w:t>
      </w:r>
      <w:r>
        <w:rPr>
          <w:rFonts w:hint="eastAsia" w:ascii="黑体" w:hAnsi="宋体" w:eastAsia="黑体" w:cs="黑体"/>
          <w:b w:val="0"/>
          <w:color w:val="444444"/>
          <w:sz w:val="28"/>
          <w:szCs w:val="28"/>
        </w:rPr>
        <w:t>年居民消费价格变化情况</w:t>
      </w:r>
    </w:p>
    <w:tbl>
      <w:tblPr>
        <w:tblW w:w="7935" w:type="dxa"/>
        <w:tblInd w:w="90" w:type="dxa"/>
        <w:shd w:val="clear"/>
        <w:tblLayout w:type="fixed"/>
        <w:tblCellMar>
          <w:top w:w="0" w:type="dxa"/>
          <w:left w:w="0" w:type="dxa"/>
          <w:bottom w:w="0" w:type="dxa"/>
          <w:right w:w="0" w:type="dxa"/>
        </w:tblCellMar>
      </w:tblPr>
      <w:tblGrid>
        <w:gridCol w:w="3825"/>
        <w:gridCol w:w="4110"/>
      </w:tblGrid>
      <w:tr>
        <w:tblPrEx>
          <w:shd w:val="clear"/>
          <w:tblLayout w:type="fixed"/>
          <w:tblCellMar>
            <w:top w:w="0" w:type="dxa"/>
            <w:left w:w="0" w:type="dxa"/>
            <w:bottom w:w="0" w:type="dxa"/>
            <w:right w:w="0" w:type="dxa"/>
          </w:tblCellMar>
        </w:tblPrEx>
        <w:trPr>
          <w:trHeight w:val="360" w:hRule="atLeast"/>
        </w:trPr>
        <w:tc>
          <w:tcPr>
            <w:tcW w:w="3825"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w:t>
            </w:r>
            <w:r>
              <w:rPr>
                <w:rFonts w:hint="default" w:ascii="Calibri" w:hAnsi="Calibri" w:eastAsia="微软雅黑" w:cs="Calibri"/>
                <w:b w:val="0"/>
                <w:color w:val="FFFFFF"/>
                <w:sz w:val="22"/>
                <w:szCs w:val="22"/>
              </w:rPr>
              <w:t xml:space="preserve">      </w:t>
            </w:r>
            <w:r>
              <w:rPr>
                <w:rFonts w:hint="eastAsia" w:ascii="宋体" w:hAnsi="宋体" w:eastAsia="宋体" w:cs="宋体"/>
                <w:b w:val="0"/>
                <w:color w:val="FFFFFF"/>
                <w:sz w:val="22"/>
                <w:szCs w:val="22"/>
              </w:rPr>
              <w:t>标</w:t>
            </w:r>
          </w:p>
        </w:tc>
        <w:tc>
          <w:tcPr>
            <w:tcW w:w="4110"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比上年涨跌（</w:t>
            </w:r>
            <w:r>
              <w:rPr>
                <w:rFonts w:hint="default" w:ascii="Calibri" w:hAnsi="Calibri" w:eastAsia="微软雅黑" w:cs="Calibri"/>
                <w:b w:val="0"/>
                <w:color w:val="FFFFFF"/>
                <w:sz w:val="22"/>
                <w:szCs w:val="22"/>
              </w:rPr>
              <w:t>%</w:t>
            </w:r>
            <w:r>
              <w:rPr>
                <w:rFonts w:hint="eastAsia" w:ascii="宋体" w:hAnsi="宋体" w:eastAsia="宋体" w:cs="宋体"/>
                <w:b w:val="0"/>
                <w:color w:val="FFFFFF"/>
                <w:sz w:val="22"/>
                <w:szCs w:val="22"/>
              </w:rPr>
              <w:t>）</w:t>
            </w:r>
          </w:p>
        </w:tc>
      </w:tr>
      <w:tr>
        <w:tblPrEx>
          <w:tblLayout w:type="fixed"/>
          <w:tblCellMar>
            <w:top w:w="0" w:type="dxa"/>
            <w:left w:w="0" w:type="dxa"/>
            <w:bottom w:w="0" w:type="dxa"/>
            <w:right w:w="0" w:type="dxa"/>
          </w:tblCellMar>
        </w:tblPrEx>
        <w:trPr>
          <w:trHeight w:val="360"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居民消费价格</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2.4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一、食品烟酒</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3.3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right="0"/>
              <w:jc w:val="left"/>
              <w:rPr>
                <w:color w:val="000000"/>
              </w:rPr>
            </w:pPr>
            <w:r>
              <w:rPr>
                <w:rFonts w:hint="default" w:ascii="Calibri" w:hAnsi="Calibri" w:eastAsia="微软雅黑" w:cs="Calibri"/>
                <w:b w:val="0"/>
                <w:color w:val="444444"/>
                <w:sz w:val="22"/>
                <w:szCs w:val="22"/>
              </w:rPr>
              <w:t xml:space="preserve">  </w:t>
            </w:r>
            <w:r>
              <w:rPr>
                <w:rFonts w:hint="default" w:ascii="Calibri" w:hAnsi="Calibri" w:eastAsia="微软雅黑" w:cs="Calibri"/>
                <w:b w:val="0"/>
                <w:color w:val="000000"/>
                <w:sz w:val="22"/>
                <w:szCs w:val="22"/>
              </w:rPr>
              <w:t>1</w:t>
            </w:r>
            <w:r>
              <w:rPr>
                <w:rFonts w:hint="eastAsia" w:ascii="宋体" w:hAnsi="宋体" w:eastAsia="宋体" w:cs="宋体"/>
                <w:b w:val="0"/>
                <w:color w:val="000000"/>
                <w:sz w:val="22"/>
                <w:szCs w:val="22"/>
              </w:rPr>
              <w:t>．食品</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2.9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粮食</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-1.1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菜</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6.6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畜肉类</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-0.8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水产品</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5.4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干鲜瓜果类</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4.3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2</w:t>
            </w:r>
            <w:r>
              <w:rPr>
                <w:rFonts w:hint="eastAsia" w:ascii="宋体" w:hAnsi="宋体" w:eastAsia="宋体" w:cs="宋体"/>
                <w:b w:val="0"/>
                <w:color w:val="000000"/>
                <w:sz w:val="22"/>
                <w:szCs w:val="22"/>
              </w:rPr>
              <w:t>．茶及饮料</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1.1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right="0"/>
              <w:jc w:val="left"/>
              <w:rPr>
                <w:color w:val="000000"/>
              </w:rPr>
            </w:pPr>
            <w:r>
              <w:rPr>
                <w:rFonts w:hint="default" w:ascii="Calibri" w:hAnsi="Calibri" w:eastAsia="微软雅黑" w:cs="Calibri"/>
                <w:b w:val="0"/>
                <w:color w:val="444444"/>
                <w:sz w:val="22"/>
                <w:szCs w:val="22"/>
              </w:rPr>
              <w:t xml:space="preserve">  </w:t>
            </w:r>
            <w:r>
              <w:rPr>
                <w:rFonts w:hint="default" w:ascii="Calibri" w:hAnsi="Calibri" w:eastAsia="微软雅黑" w:cs="Calibri"/>
                <w:b w:val="0"/>
                <w:color w:val="000000"/>
                <w:sz w:val="22"/>
                <w:szCs w:val="22"/>
              </w:rPr>
              <w:t>3</w:t>
            </w:r>
            <w:r>
              <w:rPr>
                <w:rFonts w:hint="eastAsia" w:ascii="宋体" w:hAnsi="宋体" w:eastAsia="宋体" w:cs="宋体"/>
                <w:b w:val="0"/>
                <w:color w:val="000000"/>
                <w:sz w:val="22"/>
                <w:szCs w:val="22"/>
              </w:rPr>
              <w:t>．烟酒</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0.6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4</w:t>
            </w:r>
            <w:r>
              <w:rPr>
                <w:rFonts w:hint="eastAsia" w:ascii="宋体" w:hAnsi="宋体" w:eastAsia="宋体" w:cs="宋体"/>
                <w:b w:val="0"/>
                <w:color w:val="000000"/>
                <w:sz w:val="22"/>
                <w:szCs w:val="22"/>
              </w:rPr>
              <w:t>．在外餐饮</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5.5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二、衣着</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0.1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三、居住</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4.3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四、生活用品及服务</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1.3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五、交通和通信</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-0.3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六、教育文化和娱乐</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2.5 </w:t>
            </w:r>
          </w:p>
        </w:tc>
      </w:tr>
      <w:tr>
        <w:tblPrEx>
          <w:tblLayout w:type="fixed"/>
          <w:tblCellMar>
            <w:top w:w="0" w:type="dxa"/>
            <w:left w:w="0" w:type="dxa"/>
            <w:bottom w:w="0" w:type="dxa"/>
            <w:right w:w="0" w:type="dxa"/>
          </w:tblCellMar>
        </w:tblPrEx>
        <w:trPr>
          <w:trHeight w:val="316"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七、医疗保健</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2.7 </w:t>
            </w:r>
          </w:p>
        </w:tc>
      </w:tr>
      <w:tr>
        <w:tblPrEx>
          <w:tblLayout w:type="fixed"/>
          <w:tblCellMar>
            <w:top w:w="0" w:type="dxa"/>
            <w:left w:w="0" w:type="dxa"/>
            <w:bottom w:w="0" w:type="dxa"/>
            <w:right w:w="0" w:type="dxa"/>
          </w:tblCellMar>
        </w:tblPrEx>
        <w:trPr>
          <w:trHeight w:val="360" w:hRule="atLeast"/>
        </w:trPr>
        <w:tc>
          <w:tcPr>
            <w:tcW w:w="38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八、其他用品和服务</w:t>
            </w:r>
          </w:p>
        </w:tc>
        <w:tc>
          <w:tcPr>
            <w:tcW w:w="411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 xml:space="preserve">0.0 </w:t>
            </w:r>
          </w:p>
        </w:tc>
      </w:tr>
    </w:tbl>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全年财政总收入812亿元，比上年增长15.1%，其中一般公共预算收入501亿元，增长16.2%。一般公共预算支出557亿元，增长18.5%。其中民生支出432亿元，占一般公共预算支出比重77.7%，增长17.0%。</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当年新增城镇就业人员13.94万人，城镇失业人员实现再就业5.27万人，就业困难人员实现再就业1.13万人。年末城镇登记失业人员38464人，城镇登记失业率2.25%，与上年持平。</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全年引进各类人才9.6万人，其中新增就业大学生6.17万人，引进外国人才智力192人，开展职业技能鉴定5.54万人次，培养高技能人才3.3万人。</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积极构建全民医保体系，整合职工医保、城乡居民医保、大病保险等政策。做强市民卡便民服务功能，拓展社会保障市民卡102项应用功能，市民卡累计申领人数406万人。年末，基本医疗保险参保人数达到468万人，比上年末增长1.4%，其中城镇职工基本医疗保险参保人数193万人，增长7.8%。</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新增市场主体8.86万户，其中，企业2.83万户，比上年增长11.7%；个体工商户6.04万户，下降5.6%。“个转企”2881家。年末，在册市场主体56.63万户，比上年增长7.1%，其中企业17.31万户，增长11.4%。注册资本（金）12475亿元，增长17.5%。</w:t>
      </w:r>
    </w:p>
    <w:p>
      <w:pPr>
        <w:pStyle w:val="2"/>
        <w:keepNext w:val="0"/>
        <w:keepLines w:val="0"/>
        <w:widowControl/>
        <w:suppressLineNumbers w:val="0"/>
        <w:spacing w:before="0" w:beforeAutospacing="0" w:after="0" w:afterAutospacing="0" w:line="540" w:lineRule="atLeast"/>
        <w:ind w:left="0" w:right="0" w:firstLine="645"/>
        <w:jc w:val="left"/>
      </w:pPr>
      <w:r>
        <w:rPr>
          <w:rFonts w:hint="eastAsia" w:ascii="黑体" w:hAnsi="宋体" w:eastAsia="黑体" w:cs="黑体"/>
          <w:b w:val="0"/>
          <w:color w:val="000000"/>
          <w:sz w:val="31"/>
          <w:szCs w:val="31"/>
        </w:rPr>
        <w:t>二、农业和农村建设</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农林牧渔业总产值295亿元，比上年增长2.4%。农林牧渔业增加值198亿元，比上年增长2.4%。其中，农业增加值137亿元，增长2.6%；林业增加值21亿元，增长3.9%；牧业增加值14亿元，下降4.4%；渔业增加值24亿元，增长3.6%；农林牧渔服务业增加值2亿元，增长10.3%。</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粮食作物播种面积121.05千公顷，比上年下降1.3%。粮食总产量76.26万吨，增长1.5%。茶叶总产量4.14万吨，下降13.5%。果园、中草药材种植面积分别增长1.9%、2.3%。生猪存栏、出栏分别下降3.3%、10.6%。肉类总产量8.04万吨，比上年下降6.1%，其中猪肉产量6.55万吨，下降11.4%；禽蛋产量1.80万吨，增长13.0%。水产品总产量11.58万吨，增长2.7%。其中，海水产品产量0.33万吨，增长3.0%；淡水产品产量11.25万吨，增长2.9%。</w:t>
      </w:r>
    </w:p>
    <w:p>
      <w:pPr>
        <w:pStyle w:val="2"/>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color w:val="000000"/>
          <w:sz w:val="28"/>
          <w:szCs w:val="28"/>
        </w:rPr>
        <w:t>表</w:t>
      </w:r>
      <w:r>
        <w:rPr>
          <w:rFonts w:hint="default" w:ascii="Calibri" w:hAnsi="Calibri" w:eastAsia="宋体" w:cs="Calibri"/>
          <w:b w:val="0"/>
          <w:color w:val="000000"/>
          <w:sz w:val="28"/>
          <w:szCs w:val="28"/>
        </w:rPr>
        <w:t>2</w:t>
      </w:r>
      <w:r>
        <w:rPr>
          <w:rFonts w:hint="eastAsia" w:ascii="黑体" w:hAnsi="宋体" w:eastAsia="黑体" w:cs="黑体"/>
          <w:b w:val="0"/>
          <w:color w:val="000000"/>
          <w:sz w:val="28"/>
          <w:szCs w:val="28"/>
        </w:rPr>
        <w:t>：</w:t>
      </w:r>
      <w:r>
        <w:rPr>
          <w:rFonts w:hint="default" w:ascii="Calibri" w:hAnsi="Calibri" w:eastAsia="宋体" w:cs="Calibri"/>
          <w:b w:val="0"/>
          <w:color w:val="000000"/>
          <w:sz w:val="28"/>
          <w:szCs w:val="28"/>
        </w:rPr>
        <w:t>2018</w:t>
      </w:r>
      <w:r>
        <w:rPr>
          <w:rFonts w:hint="eastAsia" w:ascii="黑体" w:hAnsi="宋体" w:eastAsia="黑体" w:cs="黑体"/>
          <w:b w:val="0"/>
          <w:color w:val="000000"/>
          <w:sz w:val="28"/>
          <w:szCs w:val="28"/>
        </w:rPr>
        <w:t>年农业生产情况</w:t>
      </w:r>
    </w:p>
    <w:tbl>
      <w:tblPr>
        <w:tblW w:w="8265" w:type="dxa"/>
        <w:tblInd w:w="90" w:type="dxa"/>
        <w:shd w:val="clear"/>
        <w:tblLayout w:type="fixed"/>
        <w:tblCellMar>
          <w:top w:w="0" w:type="dxa"/>
          <w:left w:w="0" w:type="dxa"/>
          <w:bottom w:w="0" w:type="dxa"/>
          <w:right w:w="0" w:type="dxa"/>
        </w:tblCellMar>
      </w:tblPr>
      <w:tblGrid>
        <w:gridCol w:w="3345"/>
        <w:gridCol w:w="1635"/>
        <w:gridCol w:w="1560"/>
        <w:gridCol w:w="1725"/>
      </w:tblGrid>
      <w:tr>
        <w:tblPrEx>
          <w:shd w:val="clear"/>
          <w:tblLayout w:type="fixed"/>
          <w:tblCellMar>
            <w:top w:w="0" w:type="dxa"/>
            <w:left w:w="0" w:type="dxa"/>
            <w:bottom w:w="0" w:type="dxa"/>
            <w:right w:w="0" w:type="dxa"/>
          </w:tblCellMar>
        </w:tblPrEx>
        <w:trPr>
          <w:trHeight w:val="405" w:hRule="atLeast"/>
        </w:trPr>
        <w:tc>
          <w:tcPr>
            <w:tcW w:w="3345"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w:t>
            </w:r>
            <w:r>
              <w:rPr>
                <w:rFonts w:hint="default" w:ascii="Calibri" w:hAnsi="Calibri" w:eastAsia="微软雅黑" w:cs="Calibri"/>
                <w:b w:val="0"/>
                <w:color w:val="FFFFFF"/>
                <w:sz w:val="22"/>
                <w:szCs w:val="22"/>
              </w:rPr>
              <w:t xml:space="preserve">      </w:t>
            </w:r>
            <w:r>
              <w:rPr>
                <w:rFonts w:hint="eastAsia" w:ascii="宋体" w:hAnsi="宋体" w:eastAsia="宋体" w:cs="宋体"/>
                <w:b w:val="0"/>
                <w:color w:val="FFFFFF"/>
                <w:sz w:val="22"/>
                <w:szCs w:val="22"/>
              </w:rPr>
              <w:t>标</w:t>
            </w:r>
          </w:p>
        </w:tc>
        <w:tc>
          <w:tcPr>
            <w:tcW w:w="1635"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单</w:t>
            </w:r>
            <w:r>
              <w:rPr>
                <w:rFonts w:hint="default" w:ascii="Calibri" w:hAnsi="Calibri" w:eastAsia="微软雅黑" w:cs="Calibri"/>
                <w:b w:val="0"/>
                <w:color w:val="FFFFFF"/>
                <w:sz w:val="22"/>
                <w:szCs w:val="22"/>
              </w:rPr>
              <w:t xml:space="preserve">  </w:t>
            </w:r>
            <w:r>
              <w:rPr>
                <w:rFonts w:hint="eastAsia" w:ascii="宋体" w:hAnsi="宋体" w:eastAsia="宋体" w:cs="宋体"/>
                <w:b w:val="0"/>
                <w:color w:val="FFFFFF"/>
                <w:sz w:val="22"/>
                <w:szCs w:val="22"/>
              </w:rPr>
              <w:t>位</w:t>
            </w:r>
          </w:p>
        </w:tc>
        <w:tc>
          <w:tcPr>
            <w:tcW w:w="156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绝对数</w:t>
            </w:r>
          </w:p>
        </w:tc>
        <w:tc>
          <w:tcPr>
            <w:tcW w:w="1725"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比上年增长（</w:t>
            </w:r>
            <w:r>
              <w:rPr>
                <w:rFonts w:hint="default" w:ascii="Calibri" w:hAnsi="Calibri" w:eastAsia="微软雅黑" w:cs="Calibri"/>
                <w:b w:val="0"/>
                <w:color w:val="FFFFFF"/>
                <w:sz w:val="22"/>
                <w:szCs w:val="22"/>
              </w:rPr>
              <w:t>%</w:t>
            </w:r>
            <w:r>
              <w:rPr>
                <w:rFonts w:hint="eastAsia" w:ascii="宋体" w:hAnsi="宋体" w:eastAsia="宋体" w:cs="宋体"/>
                <w:b w:val="0"/>
                <w:color w:val="FFFFFF"/>
                <w:sz w:val="22"/>
                <w:szCs w:val="22"/>
              </w:rPr>
              <w:t>）</w:t>
            </w:r>
          </w:p>
        </w:tc>
      </w:tr>
      <w:tr>
        <w:tblPrEx>
          <w:tblLayout w:type="fixed"/>
          <w:tblCellMar>
            <w:top w:w="0" w:type="dxa"/>
            <w:left w:w="0" w:type="dxa"/>
            <w:bottom w:w="0" w:type="dxa"/>
            <w:right w:w="0" w:type="dxa"/>
          </w:tblCellMar>
        </w:tblPrEx>
        <w:trPr>
          <w:trHeight w:val="435"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一、农林牧渔业总产值</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亿元</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295.18</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2.4</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二、农作物播种面积</w:t>
            </w:r>
            <w:r>
              <w:rPr>
                <w:rFonts w:hint="default" w:ascii="Calibri" w:hAnsi="Calibri" w:eastAsia="微软雅黑" w:cs="Calibri"/>
                <w:b w:val="0"/>
                <w:color w:val="000000"/>
                <w:sz w:val="22"/>
                <w:szCs w:val="22"/>
              </w:rPr>
              <w:t xml:space="preserve">  </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千公顷</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230.74</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-2.2</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 </w:t>
            </w:r>
            <w:r>
              <w:rPr>
                <w:rFonts w:hint="eastAsia" w:ascii="宋体" w:hAnsi="宋体" w:eastAsia="宋体" w:cs="宋体"/>
                <w:b w:val="0"/>
                <w:color w:val="000000"/>
                <w:sz w:val="22"/>
                <w:szCs w:val="22"/>
              </w:rPr>
              <w:t>粮食作物播种面积</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千公顷</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121.05</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三、主要农产品产量</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粮食总产量</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76.26</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1.5</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油料作物</w:t>
            </w:r>
          </w:p>
        </w:tc>
        <w:tc>
          <w:tcPr>
            <w:tcW w:w="1635" w:type="dxa"/>
            <w:tcBorders>
              <w:top w:val="single" w:color="000000" w:sz="8" w:space="0"/>
              <w:left w:val="dotted" w:color="auto" w:sz="6"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2.64</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-0.9</w:t>
            </w:r>
          </w:p>
        </w:tc>
      </w:tr>
      <w:tr>
        <w:tblPrEx>
          <w:tblLayout w:type="fixed"/>
          <w:tblCellMar>
            <w:top w:w="0" w:type="dxa"/>
            <w:left w:w="0" w:type="dxa"/>
            <w:bottom w:w="0" w:type="dxa"/>
            <w:right w:w="0" w:type="dxa"/>
          </w:tblCellMar>
        </w:tblPrEx>
        <w:trPr>
          <w:trHeight w:val="435" w:hRule="atLeast"/>
        </w:trPr>
        <w:tc>
          <w:tcPr>
            <w:tcW w:w="3345" w:type="dxa"/>
            <w:tcBorders>
              <w:top w:val="single" w:color="000000" w:sz="8" w:space="0"/>
              <w:left w:val="single" w:color="000000" w:sz="8"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棉　花</w:t>
            </w:r>
          </w:p>
        </w:tc>
        <w:tc>
          <w:tcPr>
            <w:tcW w:w="1635" w:type="dxa"/>
            <w:tcBorders>
              <w:top w:val="single" w:color="000000" w:sz="8" w:space="0"/>
              <w:left w:val="dotted" w:color="auto" w:sz="6"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428</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7.3</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甘</w:t>
            </w: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蔗</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1.76</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9.6</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水　果</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59.79</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-6.8</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茶</w:t>
            </w: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叶</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41442</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-13.5</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蚕</w:t>
            </w: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茧</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355</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-18.0</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禽　蛋</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18017</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13.0</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禽　肉</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11915</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22.6</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猪　肉</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6.55</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-11.4</w:t>
            </w:r>
          </w:p>
        </w:tc>
      </w:tr>
      <w:tr>
        <w:tblPrEx>
          <w:tblLayout w:type="fixed"/>
          <w:tblCellMar>
            <w:top w:w="0" w:type="dxa"/>
            <w:left w:w="0" w:type="dxa"/>
            <w:bottom w:w="0" w:type="dxa"/>
            <w:right w:w="0" w:type="dxa"/>
          </w:tblCellMar>
        </w:tblPrEx>
        <w:trPr>
          <w:trHeight w:val="42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出栏生猪头数</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万头</w:t>
            </w:r>
          </w:p>
        </w:tc>
        <w:tc>
          <w:tcPr>
            <w:tcW w:w="1560" w:type="dxa"/>
            <w:tcBorders>
              <w:top w:val="single" w:color="000000" w:sz="8" w:space="0"/>
              <w:left w:val="dotted" w:color="auto" w:sz="0" w:space="0"/>
              <w:bottom w:val="single" w:color="000000" w:sz="8" w:space="0"/>
              <w:right w:val="dotted" w:color="auto" w:sz="0"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87.52</w:t>
            </w:r>
          </w:p>
        </w:tc>
        <w:tc>
          <w:tcPr>
            <w:tcW w:w="1725" w:type="dxa"/>
            <w:tcBorders>
              <w:top w:val="single" w:color="000000" w:sz="8" w:space="0"/>
              <w:left w:val="dotted" w:color="auto" w:sz="6"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-10.6</w:t>
            </w:r>
          </w:p>
        </w:tc>
      </w:tr>
      <w:tr>
        <w:tblPrEx>
          <w:tblLayout w:type="fixed"/>
          <w:tblCellMar>
            <w:top w:w="0" w:type="dxa"/>
            <w:left w:w="0" w:type="dxa"/>
            <w:bottom w:w="0" w:type="dxa"/>
            <w:right w:w="0" w:type="dxa"/>
          </w:tblCellMar>
        </w:tblPrEx>
        <w:trPr>
          <w:trHeight w:val="450" w:hRule="atLeast"/>
        </w:trPr>
        <w:tc>
          <w:tcPr>
            <w:tcW w:w="334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水产品</w:t>
            </w:r>
          </w:p>
        </w:tc>
        <w:tc>
          <w:tcPr>
            <w:tcW w:w="16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5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115808</w:t>
            </w:r>
          </w:p>
        </w:tc>
        <w:tc>
          <w:tcPr>
            <w:tcW w:w="1725"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2.7</w:t>
            </w:r>
          </w:p>
        </w:tc>
      </w:tr>
    </w:tbl>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实施粮食生产功能区提标改造3.7万亩，新创建粮食绿色高产示范片19个。诸暨市国家现代农业产业园、柯桥区“花香漓渚”田园综合体2个国家级项目有序推进。4个省级现代农业园区、7个特色农业强镇列入省级创建计划。省级以上农业龙头企业42家。农民专业合作社4621家、家庭农场2469家。基本完成农村土地承包经营权确权登记颁证，承包土地合同签订率98.2%，权证颁发率97.0%。</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深入推进“五星达标、3A争创”，全市首批851个村创建成为“五星”达标村、51个村创建成为3A景区村。加快美丽乡村景观带建设。深化美丽乡村“四级联创”，柯桥区成功创建省级美丽乡村示范县，新创建省级美丽乡村示范乡镇9个、特色精品村24个。加快实施农村“厕所革命”，完成农村公厕改造提升4805座。推进农村“三线”（电力线、通信线、广播电视线）整治，保护利用农村历史文化村落，加快农家乐（民宿）提档升级。全面消除年收入15万元以下薄弱村。低收入农户人均可支配收入12803元，增长14.4%。实施“闲置农房激活计划”，带动农户就业9339人，分别增加村级集体经济和农户租金收入4723万元、6781万元，列为经济体制重点领域改革典型经验在全省推广。</w:t>
      </w:r>
    </w:p>
    <w:p>
      <w:pPr>
        <w:pStyle w:val="2"/>
        <w:keepNext w:val="0"/>
        <w:keepLines w:val="0"/>
        <w:widowControl/>
        <w:suppressLineNumbers w:val="0"/>
        <w:spacing w:before="0" w:beforeAutospacing="0" w:after="0" w:afterAutospacing="0" w:line="540" w:lineRule="atLeast"/>
        <w:ind w:left="0" w:right="0" w:firstLine="645"/>
        <w:jc w:val="left"/>
      </w:pPr>
      <w:r>
        <w:rPr>
          <w:rFonts w:hint="eastAsia" w:ascii="黑体" w:hAnsi="宋体" w:eastAsia="黑体" w:cs="黑体"/>
          <w:b w:val="0"/>
          <w:color w:val="000000"/>
          <w:sz w:val="31"/>
          <w:szCs w:val="31"/>
        </w:rPr>
        <w:t>三、工业和建筑业</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工业增加值2234亿元，比上年增长7.4%。其中，规模以上工业增加值增长7.4%，按登记注册类型分，国有企业增长6.8%，集体企业下降33.8%，有限责任公司增长4.9%，股份有限公司增长14.7%，私营企业增长8.6%，港澳台投资企业下降0.7%，外商投资企业增长7.4%，国有及国有控股企业增长12.2%；按规模分，大型企业增长11.2%，中型企业增长0.6%，小型企业增长11.2%。</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规模以上工业销售产值增长9.3%，其中出口交货值增长5.0%。</w:t>
      </w:r>
    </w:p>
    <w:p>
      <w:pPr>
        <w:pStyle w:val="2"/>
        <w:keepNext w:val="0"/>
        <w:keepLines w:val="0"/>
        <w:widowControl/>
        <w:suppressLineNumbers w:val="0"/>
        <w:spacing w:before="0" w:beforeAutospacing="0" w:after="0" w:afterAutospacing="0" w:line="390" w:lineRule="atLeast"/>
        <w:ind w:left="0" w:right="0"/>
        <w:jc w:val="center"/>
        <w:textAlignment w:val="center"/>
      </w:pPr>
      <w:r>
        <w:rPr>
          <w:rFonts w:hint="eastAsia" w:ascii="黑体" w:hAnsi="宋体" w:eastAsia="黑体" w:cs="黑体"/>
          <w:b w:val="0"/>
          <w:color w:val="000000"/>
          <w:sz w:val="28"/>
          <w:szCs w:val="28"/>
        </w:rPr>
        <w:t>表3：2018年规模以上工业主要工业产品产量</w:t>
      </w:r>
    </w:p>
    <w:tbl>
      <w:tblPr>
        <w:tblW w:w="8490" w:type="dxa"/>
        <w:tblInd w:w="90" w:type="dxa"/>
        <w:shd w:val="clear"/>
        <w:tblLayout w:type="fixed"/>
        <w:tblCellMar>
          <w:top w:w="0" w:type="dxa"/>
          <w:left w:w="0" w:type="dxa"/>
          <w:bottom w:w="0" w:type="dxa"/>
          <w:right w:w="0" w:type="dxa"/>
        </w:tblCellMar>
      </w:tblPr>
      <w:tblGrid>
        <w:gridCol w:w="3180"/>
        <w:gridCol w:w="2160"/>
        <w:gridCol w:w="1290"/>
        <w:gridCol w:w="1860"/>
      </w:tblGrid>
      <w:tr>
        <w:tblPrEx>
          <w:shd w:val="clear"/>
          <w:tblLayout w:type="fixed"/>
          <w:tblCellMar>
            <w:top w:w="0" w:type="dxa"/>
            <w:left w:w="0" w:type="dxa"/>
            <w:bottom w:w="0" w:type="dxa"/>
            <w:right w:w="0" w:type="dxa"/>
          </w:tblCellMar>
        </w:tblPrEx>
        <w:trPr>
          <w:trHeight w:val="540" w:hRule="atLeast"/>
        </w:trPr>
        <w:tc>
          <w:tcPr>
            <w:tcW w:w="3180"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产品名称</w:t>
            </w:r>
          </w:p>
        </w:tc>
        <w:tc>
          <w:tcPr>
            <w:tcW w:w="216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单位</w:t>
            </w:r>
          </w:p>
        </w:tc>
        <w:tc>
          <w:tcPr>
            <w:tcW w:w="129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产量</w:t>
            </w:r>
          </w:p>
        </w:tc>
        <w:tc>
          <w:tcPr>
            <w:tcW w:w="1860"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比上年增长</w:t>
            </w:r>
            <w:r>
              <w:rPr>
                <w:rFonts w:hint="default" w:ascii="Calibri" w:hAnsi="Calibri" w:eastAsia="微软雅黑" w:cs="Calibri"/>
                <w:b w:val="0"/>
                <w:color w:val="FFFFFF"/>
                <w:sz w:val="22"/>
                <w:szCs w:val="22"/>
              </w:rPr>
              <w:t>(%)</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纱</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20.74</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20.6</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布</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亿米</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16.06</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-21.4</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印染布</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亿米</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164.02</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1.5</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领带</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万条</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13108.8</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4.3</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袜子</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亿双</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63.3</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-27.9</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家具</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万件</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422.34</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11.6</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染料</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59.94</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-4.2</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合成纤维聚合物</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134.65</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化学药品原药</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6.87</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23.2</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化学纤维</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363.32</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16.8</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塑料制品</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115.14</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-3.1</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水泥</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821.21</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1.5</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平板玻璃</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万重量箱</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826.55</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-3.9</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钢材</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182.57</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-8.9</w:t>
            </w:r>
          </w:p>
        </w:tc>
      </w:tr>
      <w:tr>
        <w:tblPrEx>
          <w:tblLayout w:type="fixed"/>
          <w:tblCellMar>
            <w:top w:w="0" w:type="dxa"/>
            <w:left w:w="0" w:type="dxa"/>
            <w:bottom w:w="0" w:type="dxa"/>
            <w:right w:w="0" w:type="dxa"/>
          </w:tblCellMar>
        </w:tblPrEx>
        <w:trPr>
          <w:trHeight w:val="510"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滚动轴承</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万套</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57705</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3.1</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光电子器件</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万只</w:t>
            </w:r>
            <w:r>
              <w:rPr>
                <w:rFonts w:hint="default" w:ascii="Calibri" w:hAnsi="Calibri" w:eastAsia="微软雅黑" w:cs="Calibri"/>
                <w:b w:val="0"/>
                <w:color w:val="000000"/>
                <w:sz w:val="22"/>
                <w:szCs w:val="22"/>
              </w:rPr>
              <w:t>(</w:t>
            </w:r>
            <w:r>
              <w:rPr>
                <w:rFonts w:hint="eastAsia" w:ascii="宋体" w:hAnsi="宋体" w:eastAsia="宋体" w:cs="宋体"/>
                <w:b w:val="0"/>
                <w:color w:val="000000"/>
                <w:sz w:val="22"/>
                <w:szCs w:val="22"/>
              </w:rPr>
              <w:t>片、套</w:t>
            </w:r>
            <w:r>
              <w:rPr>
                <w:rFonts w:hint="default" w:ascii="Calibri" w:hAnsi="Calibri" w:eastAsia="微软雅黑" w:cs="Calibri"/>
                <w:b w:val="0"/>
                <w:color w:val="000000"/>
                <w:sz w:val="22"/>
                <w:szCs w:val="22"/>
              </w:rPr>
              <w:t>)</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231880</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-2.7</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集成电路</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万块</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213832</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-10.9</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电子元件</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万只</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264407</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-7.4</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工业机器人</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套</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297</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10</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碳纤维增强复合材料</w:t>
            </w:r>
            <w:r>
              <w:rPr>
                <w:rFonts w:hint="default" w:ascii="Calibri" w:hAnsi="Calibri" w:eastAsia="微软雅黑" w:cs="Calibri"/>
                <w:b w:val="0"/>
                <w:color w:val="000000"/>
                <w:sz w:val="22"/>
                <w:szCs w:val="22"/>
              </w:rPr>
              <w:t> </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吨</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6569.6</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418.8</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交流电动机</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万千瓦</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3086.32</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-14.2</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太阳能电池</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万千瓦</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82.11</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29.3</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电光源</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万只</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6588.1</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-47.9</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汽车仪器仪表</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万台</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128.38</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-20.1</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黄酒</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万升</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33706</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8.5</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伞类制品</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万把</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13120</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2.5</w:t>
            </w:r>
          </w:p>
        </w:tc>
      </w:tr>
      <w:tr>
        <w:tblPrEx>
          <w:tblLayout w:type="fixed"/>
          <w:tblCellMar>
            <w:top w:w="0" w:type="dxa"/>
            <w:left w:w="0" w:type="dxa"/>
            <w:bottom w:w="0" w:type="dxa"/>
            <w:right w:w="0" w:type="dxa"/>
          </w:tblCellMar>
        </w:tblPrEx>
        <w:trPr>
          <w:trHeight w:val="375" w:hRule="atLeast"/>
        </w:trPr>
        <w:tc>
          <w:tcPr>
            <w:tcW w:w="318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珍珠饰品</w:t>
            </w:r>
          </w:p>
        </w:tc>
        <w:tc>
          <w:tcPr>
            <w:tcW w:w="216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亿元</w:t>
            </w:r>
          </w:p>
        </w:tc>
        <w:tc>
          <w:tcPr>
            <w:tcW w:w="129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10.9</w:t>
            </w:r>
          </w:p>
        </w:tc>
        <w:tc>
          <w:tcPr>
            <w:tcW w:w="18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15.4</w:t>
            </w:r>
          </w:p>
        </w:tc>
      </w:tr>
    </w:tbl>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规模以上工业利润总额396.59亿元，增长11.1%。主营业务利润率6.3%，提高0.1个百分点。</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具有资质等级的总承包和专业承包建筑业企业全年总产值7991亿元，比上年增长7.3%；利润总额156亿元，增长0.1%；税金总额214亿元，下降7.0%。新开工装配式建筑724.93万平方米，占新建建筑比例25.2%。</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四、固定资产投资和房地产业</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全年固定资产投资比上年增长1.9%。其中民间投资增长20.2%，占全部投资比重69.7%。交通投资、高新技术产业投资分别比上年增长28.1%、22.9%。</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全年房地产开发投资798亿元，比上年增长17.7%。其中，住宅投资634亿元，增长26.0%。商品房销售面积1068万平方米，销售额1210亿元，比上年分别增长2.8%和29.5%。</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五、国内贸易</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全年社会消费品零售总额2008亿元，同比增长11.0%，其中限额以上社会消费品零售总额761亿元，增长11.7%。</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按经营地分，城镇消费品零售额1617亿元，增长10.7%；乡村消费品零售额391亿元，增长12.0%。按消费类型分，商品零售额1818亿元，增长10.1%；餐饮收入额190亿元，增长19.4%。</w:t>
      </w:r>
    </w:p>
    <w:p>
      <w:pPr>
        <w:pStyle w:val="2"/>
        <w:keepNext w:val="0"/>
        <w:keepLines w:val="0"/>
        <w:widowControl/>
        <w:suppressLineNumbers w:val="0"/>
        <w:shd w:val="clear" w:fill="FFFFFF"/>
        <w:spacing w:before="0" w:beforeAutospacing="0" w:after="0" w:afterAutospacing="0" w:line="585" w:lineRule="atLeast"/>
        <w:ind w:left="0" w:right="0" w:firstLine="645"/>
        <w:jc w:val="left"/>
        <w:rPr>
          <w:rFonts w:hint="eastAsia" w:ascii="宋体" w:hAnsi="宋体" w:eastAsia="宋体" w:cs="宋体"/>
          <w:b w:val="0"/>
          <w:color w:val="333333"/>
          <w:sz w:val="31"/>
          <w:szCs w:val="31"/>
          <w:shd w:val="clear" w:fill="FFFFFF"/>
        </w:rPr>
      </w:pPr>
      <w:r>
        <w:rPr>
          <w:rFonts w:hint="eastAsia" w:ascii="宋体" w:hAnsi="宋体" w:eastAsia="宋体" w:cs="宋体"/>
          <w:b w:val="0"/>
          <w:color w:val="333333"/>
          <w:sz w:val="31"/>
          <w:szCs w:val="31"/>
          <w:shd w:val="clear" w:fill="FFFFFF"/>
        </w:rPr>
        <w:t>限额以上批发零售企业27种零售商品中，占比前八位的商品增长情况分别为：汽车类下降1.5%，石油及制品类增长19.7%，服装、鞋帽、针纺织品类增长22.9%，粮油、食品类增长18.6%，家用电器和音像器材类增长21.4%，中西药品类增长21.0%，金银珠宝类增长11.7%，通讯器材类增长107.2%。</w:t>
      </w:r>
    </w:p>
    <w:p>
      <w:pPr>
        <w:pStyle w:val="2"/>
        <w:keepNext w:val="0"/>
        <w:keepLines w:val="0"/>
        <w:widowControl/>
        <w:suppressLineNumbers w:val="0"/>
        <w:shd w:val="clear" w:fill="FFFFFF"/>
        <w:spacing w:before="0" w:beforeAutospacing="0" w:after="0" w:afterAutospacing="0" w:line="585" w:lineRule="atLeast"/>
        <w:ind w:left="0" w:leftChars="0" w:right="0" w:firstLine="0" w:firstLineChars="0"/>
        <w:jc w:val="center"/>
        <w:rPr>
          <w:rFonts w:hint="eastAsia" w:ascii="宋体" w:hAnsi="宋体" w:eastAsia="宋体" w:cs="宋体"/>
          <w:b w:val="0"/>
          <w:color w:val="333333"/>
          <w:sz w:val="31"/>
          <w:szCs w:val="31"/>
          <w:shd w:val="clear" w:fill="FFFFFF"/>
        </w:rPr>
      </w:pPr>
      <w:r>
        <w:rPr>
          <w:rFonts w:hint="eastAsia" w:ascii="黑体" w:hAnsi="宋体" w:eastAsia="黑体" w:cs="黑体"/>
          <w:b w:val="0"/>
          <w:color w:val="000000"/>
          <w:sz w:val="28"/>
          <w:szCs w:val="28"/>
        </w:rPr>
        <w:t>表4：2018年社会消费品零售总额</w:t>
      </w:r>
    </w:p>
    <w:tbl>
      <w:tblPr>
        <w:tblW w:w="8340" w:type="dxa"/>
        <w:tblInd w:w="90" w:type="dxa"/>
        <w:shd w:val="clear"/>
        <w:tblLayout w:type="fixed"/>
        <w:tblCellMar>
          <w:top w:w="0" w:type="dxa"/>
          <w:left w:w="0" w:type="dxa"/>
          <w:bottom w:w="0" w:type="dxa"/>
          <w:right w:w="0" w:type="dxa"/>
        </w:tblCellMar>
      </w:tblPr>
      <w:tblGrid>
        <w:gridCol w:w="3525"/>
        <w:gridCol w:w="2625"/>
        <w:gridCol w:w="2190"/>
      </w:tblGrid>
      <w:tr>
        <w:tblPrEx>
          <w:shd w:val="clear"/>
          <w:tblLayout w:type="fixed"/>
          <w:tblCellMar>
            <w:top w:w="0" w:type="dxa"/>
            <w:left w:w="0" w:type="dxa"/>
            <w:bottom w:w="0" w:type="dxa"/>
            <w:right w:w="0" w:type="dxa"/>
          </w:tblCellMar>
        </w:tblPrEx>
        <w:trPr>
          <w:trHeight w:val="450" w:hRule="atLeast"/>
        </w:trPr>
        <w:tc>
          <w:tcPr>
            <w:tcW w:w="3525"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w:t>
            </w:r>
            <w:r>
              <w:rPr>
                <w:rFonts w:hint="default" w:ascii="Calibri" w:hAnsi="Calibri" w:eastAsia="微软雅黑" w:cs="Calibri"/>
                <w:b w:val="0"/>
                <w:color w:val="FFFFFF"/>
                <w:sz w:val="22"/>
                <w:szCs w:val="22"/>
              </w:rPr>
              <w:t xml:space="preserve">    </w:t>
            </w:r>
            <w:r>
              <w:rPr>
                <w:rFonts w:hint="eastAsia" w:ascii="宋体" w:hAnsi="宋体" w:eastAsia="宋体" w:cs="宋体"/>
                <w:b w:val="0"/>
                <w:color w:val="FFFFFF"/>
                <w:sz w:val="22"/>
                <w:szCs w:val="22"/>
              </w:rPr>
              <w:t>标</w:t>
            </w:r>
          </w:p>
        </w:tc>
        <w:tc>
          <w:tcPr>
            <w:tcW w:w="2625"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绝对数（亿元）</w:t>
            </w:r>
          </w:p>
        </w:tc>
        <w:tc>
          <w:tcPr>
            <w:tcW w:w="2190"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同比增长（</w:t>
            </w:r>
            <w:r>
              <w:rPr>
                <w:rFonts w:hint="default" w:ascii="Calibri" w:hAnsi="Calibri" w:eastAsia="微软雅黑" w:cs="Calibri"/>
                <w:b w:val="0"/>
                <w:color w:val="FFFFFF"/>
                <w:sz w:val="22"/>
                <w:szCs w:val="22"/>
              </w:rPr>
              <w:t>%</w:t>
            </w:r>
            <w:r>
              <w:rPr>
                <w:rFonts w:hint="eastAsia" w:ascii="宋体" w:hAnsi="宋体" w:eastAsia="宋体" w:cs="宋体"/>
                <w:b w:val="0"/>
                <w:color w:val="FFFFFF"/>
                <w:sz w:val="22"/>
                <w:szCs w:val="22"/>
              </w:rPr>
              <w:t>）</w:t>
            </w:r>
          </w:p>
        </w:tc>
      </w:tr>
      <w:tr>
        <w:tblPrEx>
          <w:tblLayout w:type="fixed"/>
          <w:tblCellMar>
            <w:top w:w="0" w:type="dxa"/>
            <w:left w:w="0" w:type="dxa"/>
            <w:bottom w:w="0" w:type="dxa"/>
            <w:right w:w="0" w:type="dxa"/>
          </w:tblCellMar>
        </w:tblPrEx>
        <w:trPr>
          <w:trHeight w:val="43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社会消费品零售总额</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2008</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11.0</w:t>
            </w: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按销售单位所在地分：</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default" w:ascii="Calibri" w:hAnsi="Calibri" w:eastAsia="微软雅黑" w:cs="Calibri"/>
                <w:b w:val="0"/>
                <w:color w:val="000000"/>
                <w:sz w:val="22"/>
                <w:szCs w:val="22"/>
              </w:rPr>
              <w:t>1</w:t>
            </w:r>
            <w:r>
              <w:rPr>
                <w:rFonts w:hint="eastAsia" w:ascii="宋体" w:hAnsi="宋体" w:eastAsia="宋体" w:cs="宋体"/>
                <w:b w:val="0"/>
                <w:color w:val="000000"/>
                <w:sz w:val="22"/>
                <w:szCs w:val="22"/>
              </w:rPr>
              <w:t>．城镇</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1617</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10.7</w:t>
            </w: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default" w:ascii="Calibri" w:hAnsi="Calibri" w:eastAsia="微软雅黑" w:cs="Calibri"/>
                <w:b w:val="0"/>
                <w:color w:val="000000"/>
                <w:sz w:val="22"/>
                <w:szCs w:val="22"/>
              </w:rPr>
              <w:t>2</w:t>
            </w:r>
            <w:r>
              <w:rPr>
                <w:rFonts w:hint="eastAsia" w:ascii="宋体" w:hAnsi="宋体" w:eastAsia="宋体" w:cs="宋体"/>
                <w:b w:val="0"/>
                <w:color w:val="000000"/>
                <w:sz w:val="22"/>
                <w:szCs w:val="22"/>
              </w:rPr>
              <w:t>．乡村</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391</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12.0</w:t>
            </w: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按行业分：</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1</w:t>
            </w:r>
            <w:r>
              <w:rPr>
                <w:rFonts w:hint="eastAsia" w:ascii="宋体" w:hAnsi="宋体" w:eastAsia="宋体" w:cs="宋体"/>
                <w:b w:val="0"/>
                <w:color w:val="000000"/>
                <w:sz w:val="22"/>
                <w:szCs w:val="22"/>
              </w:rPr>
              <w:t>．批发业</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147</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13.1</w:t>
            </w: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2</w:t>
            </w:r>
            <w:r>
              <w:rPr>
                <w:rFonts w:hint="eastAsia" w:ascii="宋体" w:hAnsi="宋体" w:eastAsia="宋体" w:cs="宋体"/>
                <w:b w:val="0"/>
                <w:color w:val="000000"/>
                <w:sz w:val="22"/>
                <w:szCs w:val="22"/>
              </w:rPr>
              <w:t>．零售业</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1670</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9.9</w:t>
            </w:r>
          </w:p>
        </w:tc>
      </w:tr>
      <w:tr>
        <w:tblPrEx>
          <w:tblLayout w:type="fixed"/>
          <w:tblCellMar>
            <w:top w:w="0" w:type="dxa"/>
            <w:left w:w="0" w:type="dxa"/>
            <w:bottom w:w="0" w:type="dxa"/>
            <w:right w:w="0" w:type="dxa"/>
          </w:tblCellMar>
        </w:tblPrEx>
        <w:trPr>
          <w:trHeight w:val="40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3</w:t>
            </w:r>
            <w:r>
              <w:rPr>
                <w:rFonts w:hint="eastAsia" w:ascii="宋体" w:hAnsi="宋体" w:eastAsia="宋体" w:cs="宋体"/>
                <w:b w:val="0"/>
                <w:color w:val="000000"/>
                <w:sz w:val="22"/>
                <w:szCs w:val="22"/>
              </w:rPr>
              <w:t>．住宿业</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36</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23.2</w:t>
            </w:r>
          </w:p>
        </w:tc>
      </w:tr>
      <w:tr>
        <w:tblPrEx>
          <w:tblLayout w:type="fixed"/>
          <w:tblCellMar>
            <w:top w:w="0" w:type="dxa"/>
            <w:left w:w="0" w:type="dxa"/>
            <w:bottom w:w="0" w:type="dxa"/>
            <w:right w:w="0" w:type="dxa"/>
          </w:tblCellMar>
        </w:tblPrEx>
        <w:trPr>
          <w:trHeight w:val="435" w:hRule="atLeast"/>
        </w:trPr>
        <w:tc>
          <w:tcPr>
            <w:tcW w:w="352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default" w:ascii="Calibri" w:hAnsi="Calibri" w:eastAsia="微软雅黑" w:cs="Calibri"/>
                <w:b w:val="0"/>
                <w:color w:val="000000"/>
                <w:sz w:val="22"/>
                <w:szCs w:val="22"/>
              </w:rPr>
              <w:t>  4</w:t>
            </w:r>
            <w:r>
              <w:rPr>
                <w:rFonts w:hint="eastAsia" w:ascii="宋体" w:hAnsi="宋体" w:eastAsia="宋体" w:cs="宋体"/>
                <w:b w:val="0"/>
                <w:color w:val="000000"/>
                <w:sz w:val="22"/>
                <w:szCs w:val="22"/>
              </w:rPr>
              <w:t>．餐饮业</w:t>
            </w:r>
          </w:p>
        </w:tc>
        <w:tc>
          <w:tcPr>
            <w:tcW w:w="262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154</w:t>
            </w:r>
          </w:p>
        </w:tc>
        <w:tc>
          <w:tcPr>
            <w:tcW w:w="219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18.5</w:t>
            </w:r>
          </w:p>
        </w:tc>
      </w:tr>
    </w:tbl>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全年批发和零售业销售额13526亿元，同比增长15.5%。住宿和餐饮业营业额320亿元，增长17.5%。</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年末，纳入统计的商品交易市场有392家，其中成交额超亿元市场65个，超十亿元市场23个，超百亿元市场7个。全年商品市场成交额3545亿元，比上年增长5.1%，其中消费品市场成交额2191亿元，增长6.8%；生产资料市场成交额1355亿元，增长2.6%。中国轻纺城、钱清轻纺原料市场成交额分别为1214亿元、594亿元，比上年分别增长12.3%和5.8%。</w:t>
      </w:r>
    </w:p>
    <w:p>
      <w:pPr>
        <w:pStyle w:val="2"/>
        <w:keepNext w:val="0"/>
        <w:keepLines w:val="0"/>
        <w:widowControl/>
        <w:suppressLineNumbers w:val="0"/>
        <w:spacing w:before="0" w:beforeAutospacing="0" w:after="0" w:afterAutospacing="0" w:line="540" w:lineRule="atLeast"/>
        <w:ind w:left="0" w:right="0" w:firstLine="645"/>
        <w:jc w:val="left"/>
      </w:pPr>
      <w:r>
        <w:rPr>
          <w:rFonts w:hint="eastAsia" w:ascii="黑体" w:hAnsi="宋体" w:eastAsia="黑体" w:cs="黑体"/>
          <w:b w:val="0"/>
          <w:color w:val="000000"/>
          <w:sz w:val="31"/>
          <w:szCs w:val="31"/>
        </w:rPr>
        <w:t>六、对外经济</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货物进出口2240亿元，比上年增长12.2%。其中，出口2046亿元，增长10.5%；进口194亿元，增长33.3%。按贸易方式分，加工贸易进出口134亿元，一般贸易进出口2096亿元，其他贸易进出口10亿元。按国家和地区分，有进出口国家和地区218个，其中出口超6500万元的国家和地区124个。在15个主要出口国家和地区中，出口前三位为美国、印度、越南；增幅前三位为孟加拉国、印度尼西亚、墨西哥。“一带一路”沿线国家进出口894亿元，比上年增长12.0%，其中出口841亿元，增长11.2%。按出口产品分，纺织服装出口1221亿元，增长9.0%；机电产品出口412亿元，增长8.8%；高新技术产品出口38亿元，增长1.6%；化工产品出口167亿元，增长18.7%。按企业类型统计，年末有出口实绩企业9740家（包括三资企业)，比上年末增加555家，其中出口超6500万元企业720家。</w:t>
      </w:r>
    </w:p>
    <w:p>
      <w:pPr>
        <w:pStyle w:val="2"/>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color w:val="000000"/>
          <w:sz w:val="28"/>
          <w:szCs w:val="28"/>
        </w:rPr>
        <w:t>表5</w:t>
      </w:r>
      <w:r>
        <w:rPr>
          <w:rFonts w:hint="eastAsia" w:ascii="黑体" w:hAnsi="宋体" w:eastAsia="黑体" w:cs="黑体"/>
          <w:b w:val="0"/>
          <w:color w:val="333333"/>
          <w:sz w:val="28"/>
          <w:szCs w:val="28"/>
        </w:rPr>
        <w:t>：</w:t>
      </w:r>
      <w:r>
        <w:rPr>
          <w:rFonts w:hint="eastAsia" w:ascii="黑体" w:hAnsi="宋体" w:eastAsia="黑体" w:cs="黑体"/>
          <w:b w:val="0"/>
          <w:color w:val="000000"/>
          <w:sz w:val="28"/>
          <w:szCs w:val="28"/>
        </w:rPr>
        <w:t>2018年进出口主要分类情况</w:t>
      </w:r>
    </w:p>
    <w:tbl>
      <w:tblPr>
        <w:tblW w:w="8514"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437"/>
        <w:gridCol w:w="2470"/>
        <w:gridCol w:w="26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85" w:hRule="atLeast"/>
          <w:jc w:val="center"/>
        </w:trPr>
        <w:tc>
          <w:tcPr>
            <w:tcW w:w="3437"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4"/>
                <w:szCs w:val="24"/>
              </w:rPr>
              <w:t>指标</w:t>
            </w:r>
          </w:p>
        </w:tc>
        <w:tc>
          <w:tcPr>
            <w:tcW w:w="247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4"/>
                <w:szCs w:val="24"/>
              </w:rPr>
              <w:t>绝对数（亿元）</w:t>
            </w:r>
          </w:p>
        </w:tc>
        <w:tc>
          <w:tcPr>
            <w:tcW w:w="2607"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4"/>
                <w:szCs w:val="24"/>
              </w:rPr>
              <w:t>比上年增长（</w:t>
            </w:r>
            <w:r>
              <w:rPr>
                <w:rFonts w:hint="default" w:ascii="Calibri" w:hAnsi="Calibri" w:eastAsia="微软雅黑" w:cs="Calibri"/>
                <w:b w:val="0"/>
                <w:color w:val="FFFFFF"/>
                <w:sz w:val="24"/>
                <w:szCs w:val="24"/>
              </w:rPr>
              <w:t>%</w:t>
            </w:r>
            <w:r>
              <w:rPr>
                <w:rFonts w:hint="eastAsia" w:ascii="宋体" w:hAnsi="宋体" w:eastAsia="宋体" w:cs="宋体"/>
                <w:b w:val="0"/>
                <w:color w:val="FFFFFF"/>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4"/>
                <w:szCs w:val="24"/>
              </w:rPr>
              <w:t>货物进出口总额</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2240</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4"/>
                <w:szCs w:val="24"/>
              </w:rPr>
              <w:t>一、货物出口额</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2046</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40"/>
              <w:jc w:val="left"/>
              <w:rPr>
                <w:color w:val="000000"/>
              </w:rPr>
            </w:pPr>
            <w:r>
              <w:rPr>
                <w:rFonts w:hint="default" w:ascii="Calibri" w:hAnsi="Calibri" w:eastAsia="微软雅黑" w:cs="Calibri"/>
                <w:b w:val="0"/>
                <w:color w:val="000000"/>
                <w:sz w:val="24"/>
                <w:szCs w:val="24"/>
              </w:rPr>
              <w:t xml:space="preserve"># </w:t>
            </w:r>
            <w:r>
              <w:rPr>
                <w:rFonts w:hint="eastAsia" w:ascii="宋体" w:hAnsi="宋体" w:eastAsia="宋体" w:cs="宋体"/>
                <w:b w:val="0"/>
                <w:color w:val="000000"/>
                <w:sz w:val="24"/>
                <w:szCs w:val="24"/>
              </w:rPr>
              <w:t>一般贸易</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1952</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加工贸易</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94</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纺织品及服装</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1221</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机电产品</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412</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化工及相关产品</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167</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农副产品</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46</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高新技术产品</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38</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4"/>
                <w:szCs w:val="24"/>
              </w:rPr>
              <w:t>二、货物进口额</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194</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40"/>
              <w:jc w:val="left"/>
              <w:rPr>
                <w:color w:val="000000"/>
              </w:rPr>
            </w:pPr>
            <w:r>
              <w:rPr>
                <w:rFonts w:hint="default" w:ascii="Calibri" w:hAnsi="Calibri" w:eastAsia="微软雅黑" w:cs="Calibri"/>
                <w:b w:val="0"/>
                <w:color w:val="000000"/>
                <w:sz w:val="24"/>
                <w:szCs w:val="24"/>
              </w:rPr>
              <w:t xml:space="preserve"># </w:t>
            </w:r>
            <w:r>
              <w:rPr>
                <w:rFonts w:hint="eastAsia" w:ascii="宋体" w:hAnsi="宋体" w:eastAsia="宋体" w:cs="宋体"/>
                <w:b w:val="0"/>
                <w:color w:val="000000"/>
                <w:sz w:val="24"/>
                <w:szCs w:val="24"/>
              </w:rPr>
              <w:t>一般贸易</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144</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3437"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80"/>
              <w:jc w:val="left"/>
              <w:rPr>
                <w:color w:val="000000"/>
              </w:rPr>
            </w:pPr>
            <w:r>
              <w:rPr>
                <w:rFonts w:hint="eastAsia" w:ascii="宋体" w:hAnsi="宋体" w:eastAsia="宋体" w:cs="宋体"/>
                <w:b w:val="0"/>
                <w:color w:val="000000"/>
                <w:sz w:val="24"/>
                <w:szCs w:val="24"/>
              </w:rPr>
              <w:t>加工贸易</w:t>
            </w:r>
          </w:p>
        </w:tc>
        <w:tc>
          <w:tcPr>
            <w:tcW w:w="2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40</w:t>
            </w:r>
          </w:p>
        </w:tc>
        <w:tc>
          <w:tcPr>
            <w:tcW w:w="2607"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48.8</w:t>
            </w:r>
          </w:p>
        </w:tc>
      </w:tr>
    </w:tbl>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实现服务进出口总额126亿元，同比增长10.1%，其中，服务出口总额96亿元，增长13.7%，服务进口总额31亿元，与上年基本持平。对“一带一路”沿线国家和地区服务出口总额24亿元。实现离岸服务外包执行额17801万美元，同比增长24.7%。</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新批外资项目230只，合同利用外资21.29亿美元，实到外资13.51亿美元，增长5.0%。其中，新批三产项目186只，合同外资13.07亿美元，实到外资8.98亿美元。新引进总投资亿美元以上项目13个，新引进合同外资3000万美元以上制造业项目17个，合同外资5000万美元以上服务业项目4个。外资来源以港资为主，实到港资8.39亿美元，占全市总量的62.2%。</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新批境外投资企业31家，企业增资13家，总投资额71286万美元，中方投资额62450万美元，境外工程营业额18021万美元。境外工程主要分布在委内瑞拉、赞比亚、卡塔尔、澳大利亚、阿尔及利亚、巴基斯坦等国家和地区。</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七、交通运输、邮电和旅游</w:t>
      </w:r>
    </w:p>
    <w:p>
      <w:pPr>
        <w:pStyle w:val="2"/>
        <w:keepNext w:val="0"/>
        <w:keepLines w:val="0"/>
        <w:widowControl/>
        <w:suppressLineNumbers w:val="0"/>
        <w:shd w:val="clear" w:fill="FFFFFF"/>
        <w:spacing w:before="0" w:beforeAutospacing="0" w:after="0" w:afterAutospacing="0" w:line="585" w:lineRule="atLeast"/>
        <w:ind w:left="0" w:right="0" w:firstLine="645"/>
        <w:jc w:val="left"/>
        <w:rPr>
          <w:rFonts w:hint="eastAsia" w:ascii="宋体" w:hAnsi="宋体" w:eastAsia="宋体" w:cs="宋体"/>
          <w:b w:val="0"/>
          <w:color w:val="333333"/>
          <w:sz w:val="31"/>
          <w:szCs w:val="31"/>
          <w:shd w:val="clear" w:fill="FFFFFF"/>
        </w:rPr>
      </w:pPr>
      <w:r>
        <w:rPr>
          <w:rFonts w:hint="eastAsia" w:ascii="宋体" w:hAnsi="宋体" w:eastAsia="宋体" w:cs="宋体"/>
          <w:b w:val="0"/>
          <w:color w:val="333333"/>
          <w:sz w:val="31"/>
          <w:szCs w:val="31"/>
          <w:shd w:val="clear" w:fill="FFFFFF"/>
        </w:rPr>
        <w:t>全年货物运输总量14160万吨，比上年增长5.5%。其中，公路货物运输总量12595万吨，增长4.5%；水运货物运输总量1565万吨，增长14.1%。货物运输周转量128亿吨公里，增长3.4%。其中，公路货物运输周转量95亿吨公里，增长4.0%；水运货物运输周转量33亿吨公里，增长1.9%。旅客运输总量2905.5万人，基本与上年持平。其中，公路旅客运输总量2798万人，下降0.3%；水运旅客运输总量107.5万人，下降11.3%。旅客运输周转量29.85亿人公里，增长1.1%。其中，公路旅客运输周转量29.80亿人公里，增长1.2%；水运旅客运输周转量415万人公里，下降19.3%。年末公路通车里程10137公里，与上年持平。</w:t>
      </w:r>
    </w:p>
    <w:p>
      <w:pPr>
        <w:pStyle w:val="2"/>
        <w:keepNext w:val="0"/>
        <w:keepLines w:val="0"/>
        <w:widowControl/>
        <w:suppressLineNumbers w:val="0"/>
        <w:shd w:val="clear" w:fill="FFFFFF"/>
        <w:spacing w:before="0" w:beforeAutospacing="0" w:after="0" w:afterAutospacing="0" w:line="585" w:lineRule="atLeast"/>
        <w:ind w:left="0" w:leftChars="0" w:right="0" w:firstLine="0" w:firstLineChars="0"/>
        <w:jc w:val="center"/>
        <w:rPr>
          <w:rFonts w:hint="eastAsia" w:ascii="宋体" w:hAnsi="宋体" w:eastAsia="宋体" w:cs="宋体"/>
          <w:b w:val="0"/>
          <w:color w:val="333333"/>
          <w:sz w:val="31"/>
          <w:szCs w:val="31"/>
          <w:shd w:val="clear" w:fill="FFFFFF"/>
        </w:rPr>
      </w:pPr>
      <w:r>
        <w:rPr>
          <w:rFonts w:hint="eastAsia" w:ascii="黑体" w:hAnsi="宋体" w:eastAsia="黑体" w:cs="黑体"/>
          <w:b w:val="0"/>
          <w:color w:val="000000"/>
          <w:sz w:val="28"/>
          <w:szCs w:val="28"/>
        </w:rPr>
        <w:t>表6：2018年公路、水路运输量</w:t>
      </w:r>
    </w:p>
    <w:tbl>
      <w:tblPr>
        <w:tblW w:w="8415" w:type="dxa"/>
        <w:tblInd w:w="90" w:type="dxa"/>
        <w:shd w:val="clear"/>
        <w:tblLayout w:type="fixed"/>
        <w:tblCellMar>
          <w:top w:w="0" w:type="dxa"/>
          <w:left w:w="0" w:type="dxa"/>
          <w:bottom w:w="0" w:type="dxa"/>
          <w:right w:w="0" w:type="dxa"/>
        </w:tblCellMar>
      </w:tblPr>
      <w:tblGrid>
        <w:gridCol w:w="2595"/>
        <w:gridCol w:w="1980"/>
        <w:gridCol w:w="1470"/>
        <w:gridCol w:w="2370"/>
      </w:tblGrid>
      <w:tr>
        <w:tblPrEx>
          <w:shd w:val="clear"/>
          <w:tblLayout w:type="fixed"/>
          <w:tblCellMar>
            <w:top w:w="0" w:type="dxa"/>
            <w:left w:w="0" w:type="dxa"/>
            <w:bottom w:w="0" w:type="dxa"/>
            <w:right w:w="0" w:type="dxa"/>
          </w:tblCellMar>
        </w:tblPrEx>
        <w:trPr>
          <w:trHeight w:val="480" w:hRule="atLeast"/>
        </w:trPr>
        <w:tc>
          <w:tcPr>
            <w:tcW w:w="2595"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w:t>
            </w:r>
            <w:r>
              <w:rPr>
                <w:rFonts w:hint="eastAsia" w:ascii="微软雅黑" w:hAnsi="微软雅黑" w:eastAsia="微软雅黑" w:cs="微软雅黑"/>
                <w:b w:val="0"/>
                <w:color w:val="FFFFFF"/>
                <w:sz w:val="18"/>
                <w:szCs w:val="18"/>
              </w:rPr>
              <w:t>　</w:t>
            </w:r>
            <w:r>
              <w:rPr>
                <w:rFonts w:hint="eastAsia" w:ascii="宋体" w:hAnsi="宋体" w:eastAsia="宋体" w:cs="宋体"/>
                <w:b w:val="0"/>
                <w:color w:val="FFFFFF"/>
                <w:sz w:val="22"/>
                <w:szCs w:val="22"/>
              </w:rPr>
              <w:t>标</w:t>
            </w:r>
          </w:p>
        </w:tc>
        <w:tc>
          <w:tcPr>
            <w:tcW w:w="198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单位</w:t>
            </w:r>
          </w:p>
        </w:tc>
        <w:tc>
          <w:tcPr>
            <w:tcW w:w="1470"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绝对数</w:t>
            </w:r>
          </w:p>
        </w:tc>
        <w:tc>
          <w:tcPr>
            <w:tcW w:w="2370"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比上年增长（%）</w:t>
            </w:r>
          </w:p>
        </w:tc>
      </w:tr>
      <w:tr>
        <w:tblPrEx>
          <w:tblLayout w:type="fixed"/>
          <w:tblCellMar>
            <w:top w:w="0" w:type="dxa"/>
            <w:left w:w="0" w:type="dxa"/>
            <w:bottom w:w="0" w:type="dxa"/>
            <w:right w:w="0" w:type="dxa"/>
          </w:tblCellMar>
        </w:tblPrEx>
        <w:trPr>
          <w:trHeight w:val="495"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货物运输周转量</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亿吨公里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128.09</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3.4</w:t>
            </w:r>
          </w:p>
        </w:tc>
      </w:tr>
      <w:tr>
        <w:tblPrEx>
          <w:tblLayout w:type="fixed"/>
          <w:tblCellMar>
            <w:top w:w="0" w:type="dxa"/>
            <w:left w:w="0" w:type="dxa"/>
            <w:bottom w:w="0" w:type="dxa"/>
            <w:right w:w="0" w:type="dxa"/>
          </w:tblCellMar>
        </w:tblPrEx>
        <w:trPr>
          <w:trHeight w:val="390"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eastAsia" w:ascii="宋体" w:hAnsi="宋体" w:eastAsia="宋体" w:cs="宋体"/>
                <w:b w:val="0"/>
                <w:color w:val="000000"/>
                <w:sz w:val="22"/>
                <w:szCs w:val="22"/>
              </w:rPr>
              <w:t># 公路</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亿吨公里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95.13</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4.0</w:t>
            </w:r>
          </w:p>
        </w:tc>
      </w:tr>
      <w:tr>
        <w:tblPrEx>
          <w:tblLayout w:type="fixed"/>
          <w:tblCellMar>
            <w:top w:w="0" w:type="dxa"/>
            <w:left w:w="0" w:type="dxa"/>
            <w:bottom w:w="0" w:type="dxa"/>
            <w:right w:w="0" w:type="dxa"/>
          </w:tblCellMar>
        </w:tblPrEx>
        <w:trPr>
          <w:trHeight w:val="390"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35"/>
              <w:jc w:val="left"/>
              <w:rPr>
                <w:color w:val="000000"/>
              </w:rPr>
            </w:pPr>
            <w:r>
              <w:rPr>
                <w:rFonts w:hint="eastAsia" w:ascii="宋体" w:hAnsi="宋体" w:eastAsia="宋体" w:cs="宋体"/>
                <w:b w:val="0"/>
                <w:color w:val="000000"/>
                <w:sz w:val="22"/>
                <w:szCs w:val="22"/>
              </w:rPr>
              <w:t>水运</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亿吨公里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32.96</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1.9</w:t>
            </w:r>
          </w:p>
        </w:tc>
      </w:tr>
      <w:tr>
        <w:tblPrEx>
          <w:tblLayout w:type="fixed"/>
          <w:tblCellMar>
            <w:top w:w="0" w:type="dxa"/>
            <w:left w:w="0" w:type="dxa"/>
            <w:bottom w:w="0" w:type="dxa"/>
            <w:right w:w="0" w:type="dxa"/>
          </w:tblCellMar>
        </w:tblPrEx>
        <w:trPr>
          <w:trHeight w:val="450"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旅客运输周转量</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万人公里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298459</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1.1</w:t>
            </w:r>
          </w:p>
        </w:tc>
      </w:tr>
      <w:tr>
        <w:tblPrEx>
          <w:tblLayout w:type="fixed"/>
          <w:tblCellMar>
            <w:top w:w="0" w:type="dxa"/>
            <w:left w:w="0" w:type="dxa"/>
            <w:bottom w:w="0" w:type="dxa"/>
            <w:right w:w="0" w:type="dxa"/>
          </w:tblCellMar>
        </w:tblPrEx>
        <w:trPr>
          <w:trHeight w:val="390"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eastAsia" w:ascii="宋体" w:hAnsi="宋体" w:eastAsia="宋体" w:cs="宋体"/>
                <w:b w:val="0"/>
                <w:color w:val="000000"/>
                <w:sz w:val="22"/>
                <w:szCs w:val="22"/>
              </w:rPr>
              <w:t># 公路</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万人公里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298044</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1.2</w:t>
            </w:r>
          </w:p>
        </w:tc>
      </w:tr>
      <w:tr>
        <w:tblPrEx>
          <w:tblLayout w:type="fixed"/>
          <w:tblCellMar>
            <w:top w:w="0" w:type="dxa"/>
            <w:left w:w="0" w:type="dxa"/>
            <w:bottom w:w="0" w:type="dxa"/>
            <w:right w:w="0" w:type="dxa"/>
          </w:tblCellMar>
        </w:tblPrEx>
        <w:trPr>
          <w:trHeight w:val="405" w:hRule="atLeast"/>
        </w:trPr>
        <w:tc>
          <w:tcPr>
            <w:tcW w:w="259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435"/>
              <w:jc w:val="left"/>
              <w:rPr>
                <w:color w:val="000000"/>
              </w:rPr>
            </w:pPr>
            <w:r>
              <w:rPr>
                <w:rFonts w:hint="eastAsia" w:ascii="宋体" w:hAnsi="宋体" w:eastAsia="宋体" w:cs="宋体"/>
                <w:b w:val="0"/>
                <w:color w:val="000000"/>
                <w:sz w:val="22"/>
                <w:szCs w:val="22"/>
              </w:rPr>
              <w:t>水运</w:t>
            </w:r>
          </w:p>
        </w:tc>
        <w:tc>
          <w:tcPr>
            <w:tcW w:w="198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万人公里</w:t>
            </w:r>
          </w:p>
        </w:tc>
        <w:tc>
          <w:tcPr>
            <w:tcW w:w="1470"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415</w:t>
            </w:r>
          </w:p>
        </w:tc>
        <w:tc>
          <w:tcPr>
            <w:tcW w:w="237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4"/>
                <w:szCs w:val="24"/>
              </w:rPr>
              <w:t>-19.3</w:t>
            </w:r>
          </w:p>
        </w:tc>
      </w:tr>
    </w:tbl>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持续打造现代化交通体系，金甬铁路、杭绍台铁路、杭绍城际铁路、杭绍台高速、31省道北延等加快建设，风情旅游新干线实现三区贯通运营，轨道交通1号线进展顺利，越东路、二环北路、329国道市区段智慧快速路和南部综合交通枢纽工程等开工建设。高水平推进“四好农村路”建设，提升改造等外公路182公里，基本实现全域“500米公交通村”，柯桥成为“四好农村路”全国示范县。完成市区公交一体化改革，新增优化城市公交线路80余条次，新增（更新）公交车615辆，新增停车位25789个。</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据车管所统计，年末民用车辆拥有量153.67万辆，比上年末增长2.8%。其中汽车138.56万辆，增长11.7%。</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邮电业务收入63.50亿元，比上年增长6.7%。年末电话用户数（含小灵通）106.79万户，下降8.7%。移动电话用户数（通话用户）596.81万户，增长3.1%。固定电话普及率23.88号线/百人，下降8.8%。移动电话普及率133.45部/百人，增长3.0%。互联网用户数（不含手机上网用户）218.52万户，增长8.8%。</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全年旅游总收入1184亿元，比上年增长15.1%。其中，国内旅游收入1179亿元，增长17.2%。接待游客10893万人次，增长13.1%。其中接待国内游客10879万人次，增长14.0%。</w:t>
      </w:r>
    </w:p>
    <w:p>
      <w:pPr>
        <w:pStyle w:val="2"/>
        <w:keepNext w:val="0"/>
        <w:keepLines w:val="0"/>
        <w:widowControl/>
        <w:suppressLineNumbers w:val="0"/>
        <w:shd w:val="clear" w:fill="FFFFFF"/>
        <w:spacing w:before="0" w:beforeAutospacing="0" w:after="0" w:afterAutospacing="0" w:line="540" w:lineRule="atLeast"/>
        <w:ind w:left="0" w:right="0" w:firstLine="645"/>
        <w:jc w:val="left"/>
      </w:pPr>
      <w:r>
        <w:rPr>
          <w:rFonts w:hint="eastAsia" w:ascii="宋体" w:hAnsi="宋体" w:eastAsia="宋体" w:cs="宋体"/>
          <w:b w:val="0"/>
          <w:color w:val="333333"/>
          <w:sz w:val="31"/>
          <w:szCs w:val="31"/>
          <w:shd w:val="clear" w:fill="FFFFFF"/>
        </w:rPr>
        <w:t>年末，有A级景区79处，其中5A级景区1处，4A级景区18处，3A级景区32处，2A级景区28处。省AAA级景区村庄84家。</w:t>
      </w:r>
    </w:p>
    <w:p>
      <w:pPr>
        <w:pStyle w:val="2"/>
        <w:keepNext w:val="0"/>
        <w:keepLines w:val="0"/>
        <w:widowControl/>
        <w:suppressLineNumbers w:val="0"/>
        <w:spacing w:before="0" w:beforeAutospacing="0" w:after="0" w:afterAutospacing="0" w:line="540" w:lineRule="atLeast"/>
        <w:ind w:left="0" w:right="0" w:firstLine="645"/>
        <w:jc w:val="left"/>
      </w:pPr>
      <w:r>
        <w:rPr>
          <w:rFonts w:hint="eastAsia" w:ascii="黑体" w:hAnsi="宋体" w:eastAsia="黑体" w:cs="黑体"/>
          <w:b w:val="0"/>
          <w:color w:val="000000"/>
          <w:sz w:val="31"/>
          <w:szCs w:val="31"/>
        </w:rPr>
        <w:t>八、金融、证券和保险</w:t>
      </w:r>
    </w:p>
    <w:p>
      <w:pPr>
        <w:pStyle w:val="2"/>
        <w:keepNext w:val="0"/>
        <w:keepLines w:val="0"/>
        <w:widowControl/>
        <w:suppressLineNumbers w:val="0"/>
        <w:shd w:val="clear" w:fill="FFFFFF"/>
        <w:spacing w:before="0" w:beforeAutospacing="0" w:after="0" w:afterAutospacing="0" w:line="540" w:lineRule="atLeast"/>
        <w:ind w:left="0" w:right="0" w:firstLine="645"/>
        <w:jc w:val="left"/>
        <w:rPr>
          <w:rFonts w:hint="eastAsia" w:ascii="宋体" w:hAnsi="宋体" w:eastAsia="宋体" w:cs="宋体"/>
          <w:b w:val="0"/>
          <w:color w:val="333333"/>
          <w:sz w:val="31"/>
          <w:szCs w:val="31"/>
          <w:shd w:val="clear" w:fill="FFFFFF"/>
        </w:rPr>
      </w:pPr>
      <w:r>
        <w:rPr>
          <w:rFonts w:hint="eastAsia" w:ascii="宋体" w:hAnsi="宋体" w:eastAsia="宋体" w:cs="宋体"/>
          <w:b w:val="0"/>
          <w:color w:val="333333"/>
          <w:sz w:val="31"/>
          <w:szCs w:val="31"/>
          <w:shd w:val="clear" w:fill="FFFFFF"/>
        </w:rPr>
        <w:t>年末，金融机构本外币存款余额8437亿元，比上年末增长7.6%，其中住户存款4109亿元，增长13.1%。金融机构本外币各项贷款余额7517亿元，增长12.1%。其中，中长期贷款余额3945亿元，增长22.6%；短期贷款余额3344亿元，下降0.1%。</w:t>
      </w:r>
    </w:p>
    <w:p>
      <w:pPr>
        <w:pStyle w:val="2"/>
        <w:keepNext w:val="0"/>
        <w:keepLines w:val="0"/>
        <w:widowControl/>
        <w:suppressLineNumbers w:val="0"/>
        <w:shd w:val="clear" w:fill="FFFFFF"/>
        <w:spacing w:before="0" w:beforeAutospacing="0" w:after="0" w:afterAutospacing="0" w:line="540" w:lineRule="atLeast"/>
        <w:ind w:left="0" w:leftChars="0" w:right="0" w:firstLine="0" w:firstLineChars="0"/>
        <w:jc w:val="center"/>
        <w:rPr>
          <w:rFonts w:hint="eastAsia" w:ascii="宋体" w:hAnsi="宋体" w:eastAsia="宋体" w:cs="宋体"/>
          <w:b w:val="0"/>
          <w:color w:val="333333"/>
          <w:sz w:val="31"/>
          <w:szCs w:val="31"/>
          <w:shd w:val="clear" w:fill="FFFFFF"/>
        </w:rPr>
      </w:pPr>
      <w:r>
        <w:rPr>
          <w:rFonts w:hint="eastAsia" w:ascii="黑体" w:hAnsi="宋体" w:eastAsia="黑体" w:cs="黑体"/>
          <w:b w:val="0"/>
          <w:color w:val="000000"/>
          <w:sz w:val="28"/>
          <w:szCs w:val="28"/>
        </w:rPr>
        <w:t>表7：</w:t>
      </w:r>
      <w:r>
        <w:rPr>
          <w:rFonts w:hint="default" w:ascii="Calibri" w:hAnsi="Calibri" w:eastAsia="微软雅黑" w:cs="Calibri"/>
          <w:b w:val="0"/>
          <w:color w:val="000000"/>
          <w:sz w:val="28"/>
          <w:szCs w:val="28"/>
        </w:rPr>
        <w:t>2018</w:t>
      </w:r>
      <w:r>
        <w:rPr>
          <w:rFonts w:hint="eastAsia" w:ascii="黑体" w:hAnsi="宋体" w:eastAsia="黑体" w:cs="黑体"/>
          <w:b w:val="0"/>
          <w:color w:val="000000"/>
          <w:sz w:val="28"/>
          <w:szCs w:val="28"/>
        </w:rPr>
        <w:t>年末金融机构本外币存贷款</w:t>
      </w:r>
    </w:p>
    <w:tbl>
      <w:tblPr>
        <w:tblW w:w="8385" w:type="dxa"/>
        <w:tblInd w:w="90" w:type="dxa"/>
        <w:shd w:val="clear"/>
        <w:tblLayout w:type="fixed"/>
        <w:tblCellMar>
          <w:top w:w="0" w:type="dxa"/>
          <w:left w:w="0" w:type="dxa"/>
          <w:bottom w:w="0" w:type="dxa"/>
          <w:right w:w="0" w:type="dxa"/>
        </w:tblCellMar>
      </w:tblPr>
      <w:tblGrid>
        <w:gridCol w:w="3390"/>
        <w:gridCol w:w="2235"/>
        <w:gridCol w:w="2760"/>
      </w:tblGrid>
      <w:tr>
        <w:tblPrEx>
          <w:shd w:val="clear"/>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w:t>
            </w:r>
            <w:r>
              <w:rPr>
                <w:rFonts w:hint="eastAsia" w:ascii="微软雅黑" w:hAnsi="微软雅黑" w:eastAsia="微软雅黑" w:cs="微软雅黑"/>
                <w:b w:val="0"/>
                <w:color w:val="FFFFFF"/>
                <w:sz w:val="18"/>
                <w:szCs w:val="18"/>
              </w:rPr>
              <w:t>　</w:t>
            </w:r>
            <w:r>
              <w:rPr>
                <w:rFonts w:hint="eastAsia" w:ascii="宋体" w:hAnsi="宋体" w:eastAsia="宋体" w:cs="宋体"/>
                <w:b w:val="0"/>
                <w:color w:val="FFFFFF"/>
                <w:sz w:val="22"/>
                <w:szCs w:val="22"/>
              </w:rPr>
              <w:t>标</w:t>
            </w:r>
          </w:p>
        </w:tc>
        <w:tc>
          <w:tcPr>
            <w:tcW w:w="2235" w:type="dxa"/>
            <w:tcBorders>
              <w:top w:val="single" w:color="000000" w:sz="8" w:space="0"/>
              <w:left w:val="single" w:color="FFFFFF" w:sz="4" w:space="0"/>
              <w:bottom w:val="single" w:color="000000" w:sz="8"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绝对数（亿元）</w:t>
            </w:r>
          </w:p>
        </w:tc>
        <w:tc>
          <w:tcPr>
            <w:tcW w:w="2760" w:type="dxa"/>
            <w:tcBorders>
              <w:top w:val="single" w:color="000000" w:sz="8" w:space="0"/>
              <w:left w:val="single" w:color="FFFFFF" w:sz="4" w:space="0"/>
              <w:bottom w:val="single" w:color="000000" w:sz="8" w:space="0"/>
              <w:right w:val="single" w:color="000000" w:sz="8"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比上年末增长（%）</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金融机构本外币存款余额</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8437</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7.6</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住户存款</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4109</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13.1</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金融机构本外币贷款余额</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7517</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12.1</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225"/>
              <w:jc w:val="left"/>
              <w:rPr>
                <w:color w:val="000000"/>
              </w:rPr>
            </w:pPr>
            <w:r>
              <w:rPr>
                <w:rFonts w:hint="default" w:ascii="Calibri" w:hAnsi="Calibri" w:eastAsia="微软雅黑" w:cs="Calibri"/>
                <w:b w:val="0"/>
                <w:color w:val="000000"/>
                <w:sz w:val="22"/>
                <w:szCs w:val="22"/>
              </w:rPr>
              <w:t xml:space="preserve"># </w:t>
            </w:r>
            <w:r>
              <w:rPr>
                <w:rFonts w:hint="eastAsia" w:ascii="宋体" w:hAnsi="宋体" w:eastAsia="宋体" w:cs="宋体"/>
                <w:b w:val="0"/>
                <w:color w:val="000000"/>
                <w:sz w:val="22"/>
                <w:szCs w:val="22"/>
              </w:rPr>
              <w:t>短期贷款</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3344</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-0.1</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　　中长期贷款</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3945</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22.6</w:t>
            </w:r>
          </w:p>
        </w:tc>
      </w:tr>
      <w:tr>
        <w:tblPrEx>
          <w:tblLayout w:type="fixed"/>
          <w:tblCellMar>
            <w:top w:w="0" w:type="dxa"/>
            <w:left w:w="0" w:type="dxa"/>
            <w:bottom w:w="0" w:type="dxa"/>
            <w:right w:w="0" w:type="dxa"/>
          </w:tblCellMar>
        </w:tblPrEx>
        <w:trPr>
          <w:trHeight w:val="450" w:hRule="atLeast"/>
        </w:trPr>
        <w:tc>
          <w:tcPr>
            <w:tcW w:w="3390"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rPr>
                <w:color w:val="000000"/>
              </w:rPr>
            </w:pPr>
            <w:r>
              <w:rPr>
                <w:rFonts w:hint="eastAsia" w:ascii="宋体" w:hAnsi="宋体" w:eastAsia="宋体" w:cs="宋体"/>
                <w:b w:val="0"/>
                <w:color w:val="000000"/>
                <w:sz w:val="22"/>
                <w:szCs w:val="22"/>
              </w:rPr>
              <w:t>　　票据融资</w:t>
            </w:r>
          </w:p>
        </w:tc>
        <w:tc>
          <w:tcPr>
            <w:tcW w:w="223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214</w:t>
            </w:r>
          </w:p>
        </w:tc>
        <w:tc>
          <w:tcPr>
            <w:tcW w:w="2760"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Calibri" w:hAnsi="Calibri" w:eastAsia="微软雅黑" w:cs="Calibri"/>
                <w:b w:val="0"/>
                <w:color w:val="000000"/>
                <w:sz w:val="22"/>
                <w:szCs w:val="22"/>
              </w:rPr>
              <w:t>61.2</w:t>
            </w:r>
          </w:p>
        </w:tc>
      </w:tr>
    </w:tbl>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着力推进上市公司引领产业发展示范区建设。全年新增股份公司203家，新增A股上市公司4家。年末，有上市公司75家。上市公司牵头组建产业并购和科技创新基金，各类基金规模达400亿元。</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34家小额贷款公司全年发放贷款6619笔，共155.4亿元。证券交易32355亿元，下降19.6%。期货交易11430亿元，增长5.0%。</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年末，有保险市场主体58家，其中财产险28家，人身险30家。全年保费收入158.27亿元，比上年增长1.2%，总赔付金额51.93亿元，增长18.0%。其中，财产险公司保费收入63.60亿元，增长7.6%，赔款金额37.18亿元，增长10.9%；人身险公司保费收入94.67亿元，比上年下降2.6%，赔付金额14.75亿元，增长40.7%。</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九、教育和科学技术</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年末，有普通高校11所，普通本专科招生3.34万人，在校生9.93万人，毕业生2.83万人。中等职业教育学校（含技工学校）19所，招生1.55万人，在校生4.76万人，毕业生1.59万人。其中11所中职学校18个专业开设“3+2”职业教育，16所中职学校39个专业开设“五年一贯制”职业教育。普通高中50所，招生2.88万人，在校生9.11万人，毕业生3.09万人。初中137所，招生4.47万人，在校生13.94万人，毕业生4.39万人。初中毕业生升学率99.15%。小学330所，招生4.65万人，在校生25.79万人，毕业生4.59万人。小学毕业生升学率100%。幼儿园599所，在园幼儿13.77万人。专任教师5.7万人，其中普通高校0.48万人，中等职业教育0.31万人，普通高中0.8万人，初中1.16万人，小学1.6万人，幼儿园0.89万人。</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全市一般公共预算支出中用于科学技术支出32亿元，比上年增长21.1%。编制《绍兴科创大走廊三年建设计划》。新认定国家高新技术企业323家、省高成长企业155家、省科技型中小企业1360家。新认定省重点实验室1家、省级企业研究院13家、省级高新技术企业研发中心33家，实施省级新产品计划1718项、13项成果获省科学技术奖。新增省级产业创新综合体4家。开展纺织印染、智能制造、新材料、中东欧国家科技成果对接会等各类活动30余场。参加实施发明专利产业化项目140项，技术交易额52.25亿元。全面实施“大院名所</w:t>
      </w:r>
      <w:r>
        <w:rPr>
          <w:rFonts w:hint="default" w:ascii="Calibri" w:hAnsi="Calibri" w:eastAsia="宋体" w:cs="Calibri"/>
          <w:b w:val="0"/>
          <w:color w:val="333333"/>
          <w:sz w:val="31"/>
          <w:szCs w:val="31"/>
          <w:shd w:val="clear" w:fill="FFFFFF"/>
        </w:rPr>
        <w:t>”</w:t>
      </w:r>
      <w:r>
        <w:rPr>
          <w:rFonts w:hint="eastAsia" w:ascii="宋体" w:hAnsi="宋体" w:eastAsia="宋体" w:cs="宋体"/>
          <w:b w:val="0"/>
          <w:color w:val="333333"/>
          <w:sz w:val="31"/>
          <w:szCs w:val="31"/>
          <w:shd w:val="clear" w:fill="FFFFFF"/>
        </w:rPr>
        <w:t>建设工程，引进浙江大学、武汉理工等8家高校在绍兴建设研究院。入选省领军型创新创业团队4个、省“万人计划”4名，总数列全省第二。</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十、文化、卫生和体育</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年末有国有艺术表演团体7个，全年演出843场次，观众144万人次。国有剧院6个，全年演出524场次，观众31万人次。群艺馆、文化馆(站)125个，组织文艺活动次数1055次。公共图书馆7个，公共图书馆总藏量536万册。</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越剧《王阳明》、优秀越剧巡演、小歌剧《外婆桥》、小戏曲《十五的月亮十六圆》等4个项目入选2018年度国家艺术基金扶持项目。非遗保护发展指数列全省第三。新增国家级非物质文化遗产项目代表性传承人7人。新增2家非国有博物馆。</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年末，有卫生机构2559个（含村卫生室943个），比上年末增加57个。其中医院81个，增加5个；卫生院及分院（社区卫生服务中心、站）848个，减少1个。卫生机构床位数27329张，增长1.0%，其中医院床位21651张，增长1.9%。医生数15662人，注册护士数15691人，分别增长3.1%、4.2%。每万人拥有医疗床位61.11张，比上年增加0.5张。每万人拥有医生35.02人，比上年增加0.98人。</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高标准推进健康绍兴建设。医疗服务“最多跑一次”改革全面推进。申报国家级卫生乡镇26个，创建省级卫生乡镇35个。市级卫生乡镇实现全覆盖。家庭医生签约170万人，签约率38.1%。65岁以上老人健康管理52.86万人，管理率71.9%。建设规范化母婴室113家，为10.78万名享受对象发放奖特扶金1.40亿元。完成妇女的免费“两癌”筛查24.45万人次。未发生重大医疗和公共卫生事件。</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举办国际性、国家级赛事33项。其中，2018绍兴国际马拉松赛、第三届曹娥江摩托艇国际公开赛入选浙江省第二届十佳商业品牌赛事。</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绍兴籍健儿当年获世界级金牌7人次、银牌2人次，铜牌4人次。亚洲级金牌7人次、银牌1人次、铜牌2人次。全国级比赛金牌91人次，银牌69人次，铜牌93人次。</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年末，人均体育场地面积2.49平方米，列全省第一。全年开展各类全民健身活动2318场，体质监测13000余例，合格率达到92.6%。</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成功创建浙江省运动休闲旅游示范基地1个、精品线路1条、优秀项目2个，绍兴市荣获2018年度最佳体育投资大奖，柯桥区获得世界休闲创新奖，柯桥酷玩小镇获2018年度最佳运动休闲小镇，瓜渚湖入选省十佳运动休闲湖泊。</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全年体彩销售17.44亿元，比上年增长35.8%。</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十一、人口、人民生活和社会保障</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据5‰人口变动抽样调查，年末常住人口503.5万人，比上年末增加2.5万人。城镇化率66.6%，比上年末提高1.1个百分点。</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据市公安局户籍人口年报统计，年末总户数161.34万户，与上年基本持平。户籍人口447.21万人，比上年末增加0.73万人。其中，男性222.75万人，女性224.46万人。出生人数37466人，出生率8.38‰。死亡人数32728人，死亡率7.32‰。人口自然增长率1.06‰，比上年下降1.82个千分点。</w:t>
      </w:r>
    </w:p>
    <w:p>
      <w:pPr>
        <w:pStyle w:val="2"/>
        <w:keepNext w:val="0"/>
        <w:keepLines w:val="0"/>
        <w:widowControl/>
        <w:suppressLineNumbers w:val="0"/>
        <w:shd w:val="clear" w:fill="FFFFFF"/>
        <w:spacing w:before="0" w:beforeAutospacing="0" w:after="0" w:afterAutospacing="0" w:line="615" w:lineRule="atLeast"/>
        <w:ind w:left="0" w:right="0" w:firstLine="645"/>
        <w:jc w:val="left"/>
      </w:pPr>
      <w:r>
        <w:rPr>
          <w:rFonts w:hint="eastAsia" w:ascii="宋体" w:hAnsi="宋体" w:eastAsia="宋体" w:cs="宋体"/>
          <w:b w:val="0"/>
          <w:color w:val="333333"/>
          <w:sz w:val="31"/>
          <w:szCs w:val="31"/>
          <w:shd w:val="clear" w:fill="FFFFFF"/>
        </w:rPr>
        <w:t>据城乡一体化住户调查，全年全体居民人均可支配收入49389元，比上年增长9.0%。其中，城镇常住居民和农村常住居民人均可支配收入分别为59049元和33097元，增长， 8.5和9.1%。</w:t>
      </w:r>
    </w:p>
    <w:p>
      <w:pPr>
        <w:pStyle w:val="2"/>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color w:val="000000"/>
          <w:sz w:val="28"/>
          <w:szCs w:val="28"/>
        </w:rPr>
        <w:t>表8：2018年城乡居民收入</w:t>
      </w:r>
    </w:p>
    <w:tbl>
      <w:tblPr>
        <w:tblW w:w="8355" w:type="dxa"/>
        <w:jc w:val="center"/>
        <w:tblInd w:w="8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965"/>
        <w:gridCol w:w="1065"/>
        <w:gridCol w:w="1065"/>
        <w:gridCol w:w="1065"/>
        <w:gridCol w:w="1065"/>
        <w:gridCol w:w="1065"/>
        <w:gridCol w:w="10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5" w:hRule="atLeast"/>
          <w:jc w:val="center"/>
        </w:trPr>
        <w:tc>
          <w:tcPr>
            <w:tcW w:w="1965" w:type="dxa"/>
            <w:vMerge w:val="restart"/>
            <w:tcBorders>
              <w:top w:val="single" w:color="FFFFFF" w:sz="4" w:space="0"/>
              <w:left w:val="single" w:color="FFFFFF" w:sz="4" w:space="0"/>
              <w:bottom w:val="single" w:color="FFFFFF" w:sz="4"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指  标</w:t>
            </w:r>
          </w:p>
        </w:tc>
        <w:tc>
          <w:tcPr>
            <w:tcW w:w="2130" w:type="dxa"/>
            <w:gridSpan w:val="2"/>
            <w:tcBorders>
              <w:top w:val="single" w:color="FFFFFF" w:sz="4" w:space="0"/>
              <w:left w:val="single" w:color="FFFFFF" w:sz="4" w:space="0"/>
              <w:bottom w:val="single" w:color="FFFFFF" w:sz="4"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全体居民</w:t>
            </w:r>
          </w:p>
        </w:tc>
        <w:tc>
          <w:tcPr>
            <w:tcW w:w="2130" w:type="dxa"/>
            <w:gridSpan w:val="2"/>
            <w:tcBorders>
              <w:top w:val="single" w:color="FFFFFF" w:sz="4" w:space="0"/>
              <w:left w:val="single" w:color="FFFFFF" w:sz="4" w:space="0"/>
              <w:bottom w:val="single" w:color="FFFFFF" w:sz="4"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城镇居民</w:t>
            </w:r>
          </w:p>
        </w:tc>
        <w:tc>
          <w:tcPr>
            <w:tcW w:w="2130" w:type="dxa"/>
            <w:gridSpan w:val="2"/>
            <w:tcBorders>
              <w:top w:val="single" w:color="FFFFFF" w:sz="4" w:space="0"/>
              <w:left w:val="single" w:color="FFFFFF" w:sz="4" w:space="0"/>
              <w:bottom w:val="single" w:color="FFFFFF" w:sz="4" w:space="0"/>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FFFFFF"/>
              </w:rPr>
            </w:pPr>
            <w:r>
              <w:rPr>
                <w:rFonts w:hint="eastAsia" w:ascii="宋体" w:hAnsi="宋体" w:eastAsia="宋体" w:cs="宋体"/>
                <w:b w:val="0"/>
                <w:color w:val="FFFFFF"/>
                <w:sz w:val="22"/>
                <w:szCs w:val="22"/>
              </w:rPr>
              <w:t>农村居民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jc w:val="center"/>
        </w:trPr>
        <w:tc>
          <w:tcPr>
            <w:tcW w:w="1965" w:type="dxa"/>
            <w:vMerge w:val="continue"/>
            <w:tcBorders>
              <w:top w:val="single" w:color="FFFFFF" w:sz="4" w:space="0"/>
              <w:left w:val="single" w:color="FFFFFF" w:sz="4" w:space="0"/>
              <w:bottom w:val="nil"/>
              <w:right w:val="single" w:color="FFFFFF" w:sz="4" w:space="0"/>
            </w:tcBorders>
            <w:shd w:val="clear" w:color="auto" w:fill="FFFFFF"/>
            <w:tcMar>
              <w:left w:w="105" w:type="dxa"/>
              <w:right w:w="105" w:type="dxa"/>
            </w:tcMar>
            <w:vAlign w:val="center"/>
          </w:tcPr>
          <w:p>
            <w:pPr>
              <w:jc w:val="left"/>
              <w:rPr>
                <w:rFonts w:hint="eastAsia" w:ascii="微软雅黑" w:hAnsi="微软雅黑" w:eastAsia="微软雅黑" w:cs="微软雅黑"/>
                <w:b w:val="0"/>
                <w:color w:val="000000"/>
                <w:sz w:val="18"/>
                <w:szCs w:val="18"/>
              </w:rPr>
            </w:pP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绝对数（元）</w:t>
            </w: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比上年增长（%）</w:t>
            </w: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绝对数（元）</w:t>
            </w: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比上年增长（%）</w:t>
            </w: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绝对数（元）</w:t>
            </w:r>
          </w:p>
        </w:tc>
        <w:tc>
          <w:tcPr>
            <w:tcW w:w="1065" w:type="dxa"/>
            <w:tcBorders>
              <w:top w:val="single" w:color="FFFFFF" w:sz="4" w:space="0"/>
              <w:left w:val="single" w:color="FFFFFF" w:sz="4" w:space="0"/>
              <w:bottom w:val="nil"/>
              <w:right w:val="single" w:color="FFFFFF" w:sz="4" w:space="0"/>
            </w:tcBorders>
            <w:shd w:val="clear" w:color="auto" w:fill="000000"/>
            <w:tcMar>
              <w:left w:w="105" w:type="dxa"/>
              <w:right w:w="105" w:type="dxa"/>
            </w:tcMar>
            <w:vAlign w:val="center"/>
          </w:tcPr>
          <w:p>
            <w:pPr>
              <w:pStyle w:val="2"/>
              <w:keepNext w:val="0"/>
              <w:keepLines w:val="0"/>
              <w:widowControl/>
              <w:suppressLineNumbers w:val="0"/>
              <w:spacing w:before="0" w:beforeAutospacing="0" w:after="0" w:afterAutospacing="0" w:line="240" w:lineRule="atLeast"/>
              <w:ind w:left="0" w:right="0"/>
              <w:jc w:val="center"/>
              <w:rPr>
                <w:color w:val="FFFFFF"/>
              </w:rPr>
            </w:pPr>
            <w:r>
              <w:rPr>
                <w:rFonts w:hint="eastAsia" w:ascii="宋体" w:hAnsi="宋体" w:eastAsia="宋体" w:cs="宋体"/>
                <w:b w:val="0"/>
                <w:color w:val="FFFFFF"/>
                <w:sz w:val="22"/>
                <w:szCs w:val="22"/>
              </w:rPr>
              <w:t>比上年增长（%）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1965" w:type="dxa"/>
            <w:tcBorders>
              <w:top w:val="nil"/>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人均可支配收入</w:t>
            </w:r>
          </w:p>
        </w:tc>
        <w:tc>
          <w:tcPr>
            <w:tcW w:w="1065" w:type="dxa"/>
            <w:tcBorders>
              <w:top w:val="nil"/>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49389 </w:t>
            </w:r>
          </w:p>
        </w:tc>
        <w:tc>
          <w:tcPr>
            <w:tcW w:w="1065" w:type="dxa"/>
            <w:tcBorders>
              <w:top w:val="nil"/>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9.0 </w:t>
            </w:r>
          </w:p>
        </w:tc>
        <w:tc>
          <w:tcPr>
            <w:tcW w:w="1065" w:type="dxa"/>
            <w:tcBorders>
              <w:top w:val="nil"/>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59049 </w:t>
            </w:r>
          </w:p>
        </w:tc>
        <w:tc>
          <w:tcPr>
            <w:tcW w:w="1065" w:type="dxa"/>
            <w:tcBorders>
              <w:top w:val="nil"/>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8.5 </w:t>
            </w:r>
          </w:p>
        </w:tc>
        <w:tc>
          <w:tcPr>
            <w:tcW w:w="1065" w:type="dxa"/>
            <w:tcBorders>
              <w:top w:val="nil"/>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33097 </w:t>
            </w:r>
          </w:p>
        </w:tc>
        <w:tc>
          <w:tcPr>
            <w:tcW w:w="1065" w:type="dxa"/>
            <w:tcBorders>
              <w:top w:val="nil"/>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196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一、工资性收入</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27641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9.0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32703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8.4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19104 </w:t>
            </w:r>
          </w:p>
        </w:tc>
        <w:tc>
          <w:tcPr>
            <w:tcW w:w="1065"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196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二、经营净收入</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10873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8.5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11570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8.3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9697 </w:t>
            </w:r>
          </w:p>
        </w:tc>
        <w:tc>
          <w:tcPr>
            <w:tcW w:w="1065"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8.7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196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三、财产净收入</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4778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9.0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7041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7.9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960 </w:t>
            </w:r>
          </w:p>
        </w:tc>
        <w:tc>
          <w:tcPr>
            <w:tcW w:w="1065"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10.4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1965" w:type="dxa"/>
            <w:tcBorders>
              <w:top w:val="single" w:color="000000" w:sz="8" w:space="0"/>
              <w:left w:val="single" w:color="000000" w:sz="8"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rPr>
                <w:color w:val="000000"/>
              </w:rPr>
            </w:pPr>
            <w:r>
              <w:rPr>
                <w:rFonts w:hint="eastAsia" w:ascii="宋体" w:hAnsi="宋体" w:eastAsia="宋体" w:cs="宋体"/>
                <w:b w:val="0"/>
                <w:color w:val="000000"/>
                <w:sz w:val="22"/>
                <w:szCs w:val="22"/>
              </w:rPr>
              <w:t>四、转移净收入</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6097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10.0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7734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9.4 </w:t>
            </w:r>
          </w:p>
        </w:tc>
        <w:tc>
          <w:tcPr>
            <w:tcW w:w="1065" w:type="dxa"/>
            <w:tcBorders>
              <w:top w:val="single" w:color="000000" w:sz="8" w:space="0"/>
              <w:left w:val="dotted" w:color="auto" w:sz="0" w:space="0"/>
              <w:bottom w:val="single" w:color="000000" w:sz="8" w:space="0"/>
              <w:right w:val="dotted"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3337 </w:t>
            </w:r>
          </w:p>
        </w:tc>
        <w:tc>
          <w:tcPr>
            <w:tcW w:w="1065" w:type="dxa"/>
            <w:tcBorders>
              <w:top w:val="single" w:color="000000" w:sz="8" w:space="0"/>
              <w:left w:val="dotted" w:color="auto" w:sz="0" w:space="0"/>
              <w:bottom w:val="single" w:color="000000" w:sz="8" w:space="0"/>
              <w:right w:val="single" w:color="000000" w:sz="8"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300" w:lineRule="atLeast"/>
              <w:ind w:left="0" w:right="0"/>
              <w:jc w:val="right"/>
              <w:rPr>
                <w:color w:val="000000"/>
              </w:rPr>
            </w:pPr>
            <w:r>
              <w:rPr>
                <w:rFonts w:hint="default" w:ascii="Times New Roman" w:hAnsi="Times New Roman" w:eastAsia="微软雅黑" w:cs="Times New Roman"/>
                <w:b w:val="0"/>
                <w:color w:val="000000"/>
                <w:sz w:val="22"/>
                <w:szCs w:val="22"/>
              </w:rPr>
              <w:t xml:space="preserve">9.4 </w:t>
            </w:r>
          </w:p>
        </w:tc>
      </w:tr>
    </w:tbl>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全体居民人均生活消费支出28691元，比上年增长8.4%。其中，城镇常住居民和农村常住居民人均生活消费支出分别为33319元和20888元，增长7.9%和8.7%。城镇常住居民恩格尔系数27.1%，比上年下降0.3个百分点，农村常住居民恩格尔系数30.1%，与上年持平。</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年末全体居民人均住房建筑面积57.4平方米。其中，城镇常住居民人均住房建筑面积51.5平方米，农村常住居民人均住房建筑面积67.4平方米。</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宋体" w:hAnsi="宋体" w:eastAsia="宋体" w:cs="宋体"/>
          <w:b w:val="0"/>
          <w:color w:val="333333"/>
          <w:sz w:val="31"/>
          <w:szCs w:val="31"/>
        </w:rPr>
        <w:t>年末，每百户居民家庭拥有家用汽车54.22辆，比上年末增长10.4%；拥有计算机73.10台，降低7.1%；拥有移动电话246.16部，增长3.0%；拥有洗衣机95.54台、电冰箱（柜）107.97台、彩色电视机199.09台、空调211.00台、热水器100.00台，分别增长1.6%、3.6%、0.7%、15.6%、4.9%。</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年末，基本养老保险参保人数357万人，比上年末增长3.2%；企业职工养老保险参保人数237万人，增长5.3%。城镇失业保险参保人数120.7万人，下降8.43%。</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共建成乡镇（街道）级示范型居家养老中心50家，271家城乡社区居家养老服务照料中心实现公建民营，助餐、配送餐服务覆盖1190个城乡社区，助餐覆盖率达50.4%，39家公办养老机构实现公建民营改革，73家乡镇敬老院实现转型升级。</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开展农村留守儿童“合力监护、相伴成长”关爱保护专项行动，农村留守儿童总人数由上年末的2906人下降到2573人，并将所有农村留守儿童纳入有效监护范围。年末，在册低保对象41046人，其中，城镇5823人，农村35223人。低保资金（含各类补贴）支出2.84亿元。城乡低保平均标准每人每月810元。从2018年1月1日起实现低保标准城乡统标。救助临时困难群众3375户，8092人次，支出临时救助金1096.26万元。</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福利彩票销售13.94亿元，筹集公益金1.24亿元，公益金支出1.71亿元。</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当年保障性安居工程住房基本建成58798套，竣工65533套，完成省定目标的113.7%、109.1%。棚户区改造住房新开工54168套，完成省定目标的108.3%。完成城中村和城市旧住宅区拆迁（征收）20692户、650.99万平方米，完成率115.4%。108个小城镇全部通过省级考核验收。</w:t>
      </w:r>
    </w:p>
    <w:p>
      <w:pPr>
        <w:pStyle w:val="2"/>
        <w:keepNext w:val="0"/>
        <w:keepLines w:val="0"/>
        <w:widowControl/>
        <w:suppressLineNumbers w:val="0"/>
        <w:spacing w:before="0" w:beforeAutospacing="0" w:after="0" w:afterAutospacing="0" w:line="585" w:lineRule="atLeast"/>
        <w:ind w:left="0" w:right="0" w:firstLine="645"/>
        <w:jc w:val="left"/>
      </w:pPr>
      <w:r>
        <w:rPr>
          <w:rFonts w:hint="eastAsia" w:ascii="黑体" w:hAnsi="宋体" w:eastAsia="黑体" w:cs="黑体"/>
          <w:b w:val="0"/>
          <w:color w:val="000000"/>
          <w:sz w:val="31"/>
          <w:szCs w:val="31"/>
        </w:rPr>
        <w:t>十二、资源、环境保护和社会安全</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年末，有气象雷达观测站点3个，卫星云图接收站点5个，区域自动气象观测站256个。全年平均气温18.1℃，总日照时数1748小时。</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全年平均降水量1556.8毫米，较多年平均降水量增加6.4%，较上年降水量增加7.5%。总水资源量59.82亿立方米，较多年平均偏少6.2%，较上年偏少3.6%，其中地表水资源量57.36亿立方米。人均水资源量1188立方米。</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据自然资源和规划局统计，年末，实有耕地面积198.53千公顷，与上年基本持平。其中，水田138.42千公顷，增长0.7%；旱地60.11千公顷，下降1.5%。</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完成造林更新2.35万亩，其中平原绿化2.2万亩。新建省级森林城镇5个，市级森林城镇9个、森林村庄81个。建成森林通道建设183.7公里。新种植珍贵树173.2万株，建成珍贵树种示范林17片、示范点16个、示范单位16个。</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完成水利建设投资80.5亿元。水利工程年供水量18.09亿立方米，下降2.3%。年末，已建成水库555座，比上年减少2座。水库总容量15.46亿立方米。完成病险水库除险加固14座，农村山塘综合整治100座，农村饮用水达标提标5.57万人，新增改善灌溉面积2.6万亩，新增高效节水面积2.47万亩。河湖库塘清污（淤）量865万方，城镇污水配套管网125公里。完成水土流失治理36平方公里。</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全市空气质量综合指数4.02，比上年改善6.1%。空气质量优良天数比例83.8%，比上年提升0.8个百分点。PM2.5浓度37微克/立方米，比上年下降9.8%。</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全市7个国家“水十条”考核断面、24个省控以上断面、70个市控及以上断面Ⅰ～Ⅲ类水比例均达到100%。128个市级考核断面Ⅰ～Ⅲ类水比例和功能区达标率达到99.2%，水质实现质的飞跃。</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市域开展国家、省级生态文明建设示范市创建工作。成功创建2018年美丽山水城市。新昌县创建成为全国首批国家级生态文明建设示范县，诸暨市创建成为省级生态文明建设示范县。拥有国家级生态乡镇（街道）63个，省级生态乡镇（街道）109个。</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单位GDP能耗下降5.4%，下降幅度列全省第一。规模以上工业企业能源消费量同比减少0.9%，单位工业增加值能耗下降7.7%。其中八大高耗能行业单位增加值能耗同比下降5.8%。</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完成既有公共建筑节能改造23.75万平方米、可再生能源建筑应用504.21万平方米，完成率分别达到237.5%、315.1%。</w:t>
      </w:r>
    </w:p>
    <w:p>
      <w:pPr>
        <w:pStyle w:val="2"/>
        <w:keepNext w:val="0"/>
        <w:keepLines w:val="0"/>
        <w:widowControl/>
        <w:suppressLineNumbers w:val="0"/>
        <w:shd w:val="clear" w:fill="FFFFFF"/>
        <w:spacing w:before="0" w:beforeAutospacing="0" w:after="0" w:afterAutospacing="0" w:line="585" w:lineRule="atLeast"/>
        <w:ind w:left="0" w:right="0" w:firstLine="645"/>
        <w:jc w:val="left"/>
      </w:pPr>
      <w:r>
        <w:rPr>
          <w:rFonts w:hint="eastAsia" w:ascii="宋体" w:hAnsi="宋体" w:eastAsia="宋体" w:cs="宋体"/>
          <w:b w:val="0"/>
          <w:color w:val="333333"/>
          <w:sz w:val="31"/>
          <w:szCs w:val="31"/>
          <w:shd w:val="clear" w:fill="FFFFFF"/>
        </w:rPr>
        <w:t>全年发生各类生产安全事故165起、死亡138人，比上年分别下降13.6%、22.5%。其中，较大生产安全事故1起、死亡3人，与上年持平。生产经营性道路运输共发生事故143起、死亡112人，分别下降10.6%和23.3%。</w:t>
      </w:r>
    </w:p>
    <w:p>
      <w:pPr>
        <w:pStyle w:val="2"/>
        <w:keepNext w:val="0"/>
        <w:keepLines w:val="0"/>
        <w:widowControl/>
        <w:suppressLineNumbers w:val="0"/>
        <w:shd w:val="clear" w:fill="FFFFFF"/>
        <w:spacing w:before="0" w:beforeAutospacing="0" w:after="0" w:afterAutospacing="0" w:line="585" w:lineRule="atLeast"/>
        <w:ind w:left="0" w:right="0" w:firstLine="420"/>
        <w:jc w:val="left"/>
      </w:pPr>
      <w:r>
        <w:rPr>
          <w:rFonts w:hint="eastAsia" w:ascii="宋体" w:hAnsi="宋体" w:eastAsia="宋体" w:cs="宋体"/>
          <w:b w:val="0"/>
          <w:color w:val="333333"/>
          <w:sz w:val="24"/>
          <w:szCs w:val="24"/>
          <w:shd w:val="clear" w:fill="FFFFFF"/>
        </w:rPr>
        <w:t> </w:t>
      </w:r>
    </w:p>
    <w:p>
      <w:pPr>
        <w:pStyle w:val="2"/>
        <w:keepNext w:val="0"/>
        <w:keepLines w:val="0"/>
        <w:widowControl/>
        <w:suppressLineNumbers w:val="0"/>
        <w:shd w:val="clear" w:fill="FFFFFF"/>
        <w:spacing w:before="0" w:beforeAutospacing="0" w:after="0" w:afterAutospacing="0" w:line="435" w:lineRule="atLeast"/>
        <w:ind w:left="0" w:right="0"/>
        <w:jc w:val="left"/>
      </w:pPr>
      <w:r>
        <w:rPr>
          <w:rStyle w:val="4"/>
          <w:rFonts w:hint="eastAsia" w:ascii="宋体" w:hAnsi="宋体" w:eastAsia="宋体" w:cs="宋体"/>
          <w:color w:val="000000"/>
          <w:sz w:val="24"/>
          <w:szCs w:val="24"/>
          <w:shd w:val="clear" w:fill="FFFFFF"/>
        </w:rPr>
        <w:t>注释：</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[1]本公报所列2018年各项数据为年度初步统计数据。部分数据因四舍五入原因，存在与分项合计不等的情况。</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[2]生产总值（GDP）和各产业增加值绝对数按现价计算，增长速度按不变价格计算。</w:t>
      </w:r>
    </w:p>
    <w:p>
      <w:pPr>
        <w:pStyle w:val="2"/>
        <w:keepNext w:val="0"/>
        <w:keepLines w:val="0"/>
        <w:widowControl/>
        <w:suppressLineNumbers w:val="0"/>
        <w:spacing w:before="0" w:beforeAutospacing="0" w:after="0" w:afterAutospacing="0" w:line="465" w:lineRule="atLeast"/>
        <w:ind w:left="0" w:right="0" w:firstLine="480"/>
        <w:jc w:val="left"/>
      </w:pPr>
      <w:r>
        <w:rPr>
          <w:rFonts w:hint="eastAsia" w:ascii="宋体" w:hAnsi="宋体" w:eastAsia="宋体" w:cs="宋体"/>
          <w:b w:val="0"/>
          <w:color w:val="000000"/>
          <w:sz w:val="24"/>
          <w:szCs w:val="24"/>
        </w:rPr>
        <w:t>[3]农林牧渔业总产值增速按可比价计算。农作物播种面积及主要农产品产量使用全面农业统计数据。</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[4]“一带一路”沿线国家具体包括印度、俄罗斯、越南、印度尼西亚、伊朗、泰国、土耳其、巴基斯坦、马来西亚、波兰、菲律宾、沙特阿拉伯等64个国家。</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[5]规模以上工业统计范围为年主营业务收入2000万元及以上法人工业企业。</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[6]限额以上批发业统计范围为年主营业务收入2000万元及以上法人单位。</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[7]限额以上零售业统计范围为年主营业务收入500万元及以上法人单位。</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[8]限额以上住宿业统计范围为年主营业务收入200万元及以上法人单位。</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[9]限额以上餐饮业统计范围为年主营业务收入200万元及以上法人单位。</w:t>
      </w:r>
    </w:p>
    <w:p>
      <w:pPr>
        <w:pStyle w:val="2"/>
        <w:keepNext w:val="0"/>
        <w:keepLines w:val="0"/>
        <w:widowControl/>
        <w:suppressLineNumbers w:val="0"/>
        <w:spacing w:before="0" w:beforeAutospacing="0" w:after="0" w:afterAutospacing="0" w:line="465" w:lineRule="atLeast"/>
        <w:ind w:left="0" w:right="0" w:firstLine="480"/>
        <w:jc w:val="left"/>
      </w:pPr>
      <w:r>
        <w:rPr>
          <w:rFonts w:hint="eastAsia" w:ascii="宋体" w:hAnsi="宋体" w:eastAsia="宋体" w:cs="宋体"/>
          <w:b w:val="0"/>
          <w:color w:val="000000"/>
          <w:sz w:val="24"/>
          <w:szCs w:val="24"/>
        </w:rPr>
        <w:t>[10]规模以上服务业企业统计范围为年营业收入1000万元及以上，或年末从业人员50人及以上服务业法人单位。包括：交通运输、仓储和邮政业，信息传输、软件和信息技术服务业，租赁和商务服务业，科学研究和技术服务业，水利、环境和公共设施管理业，教育，卫生和社会工作；以及物业管理、房地产中介服务、房地产租赁经营和其他房地产业等行业。</w:t>
      </w:r>
    </w:p>
    <w:p>
      <w:pPr>
        <w:pStyle w:val="2"/>
        <w:keepNext w:val="0"/>
        <w:keepLines w:val="0"/>
        <w:widowControl/>
        <w:suppressLineNumbers w:val="0"/>
        <w:spacing w:before="0" w:beforeAutospacing="0" w:after="0" w:afterAutospacing="0" w:line="465" w:lineRule="atLeast"/>
        <w:ind w:left="0" w:right="0" w:firstLine="480"/>
        <w:jc w:val="left"/>
      </w:pPr>
      <w:r>
        <w:rPr>
          <w:rFonts w:hint="eastAsia" w:ascii="宋体" w:hAnsi="宋体" w:eastAsia="宋体" w:cs="宋体"/>
          <w:b w:val="0"/>
          <w:color w:val="000000"/>
          <w:sz w:val="24"/>
          <w:szCs w:val="24"/>
        </w:rPr>
        <w:t>[11]各类生产经营性事故包括工矿商贸企业、道路运输、水上运输、渔业船舶、铁路运输、农业机械、海上交通事故。</w:t>
      </w:r>
    </w:p>
    <w:p>
      <w:pPr>
        <w:pStyle w:val="2"/>
        <w:keepNext w:val="0"/>
        <w:keepLines w:val="0"/>
        <w:widowControl/>
        <w:suppressLineNumbers w:val="0"/>
        <w:shd w:val="clear" w:fill="FFFFFF"/>
        <w:spacing w:before="0" w:beforeAutospacing="0" w:after="0" w:afterAutospacing="0" w:line="465" w:lineRule="atLeast"/>
        <w:ind w:left="0" w:right="0" w:firstLine="480"/>
        <w:jc w:val="left"/>
      </w:pPr>
      <w:r>
        <w:rPr>
          <w:rFonts w:hint="eastAsia" w:ascii="宋体" w:hAnsi="宋体" w:eastAsia="宋体" w:cs="宋体"/>
          <w:b w:val="0"/>
          <w:color w:val="000000"/>
          <w:sz w:val="24"/>
          <w:szCs w:val="24"/>
          <w:shd w:val="clear" w:fill="FFFFFF"/>
        </w:rPr>
        <w:t>[12]从2018年起，浙江服务贸易统计执行《国际服务贸易统计监测制度》，口径与上年有调整，增速按可比口径计算。</w:t>
      </w:r>
    </w:p>
    <w:p>
      <w:pPr>
        <w:pStyle w:val="2"/>
        <w:keepNext w:val="0"/>
        <w:keepLines w:val="0"/>
        <w:widowControl/>
        <w:suppressLineNumbers w:val="0"/>
        <w:spacing w:before="0" w:beforeAutospacing="0" w:after="0" w:afterAutospacing="0" w:line="465" w:lineRule="atLeast"/>
        <w:ind w:left="0" w:right="0"/>
        <w:jc w:val="left"/>
      </w:pPr>
      <w:r>
        <w:rPr>
          <w:rStyle w:val="4"/>
          <w:rFonts w:hint="default" w:ascii="Calibri" w:hAnsi="Calibri" w:eastAsia="宋体" w:cs="Calibri"/>
          <w:color w:val="FF0000"/>
          <w:sz w:val="24"/>
          <w:szCs w:val="24"/>
        </w:rPr>
        <w:t> </w:t>
      </w:r>
    </w:p>
    <w:p>
      <w:pPr>
        <w:pStyle w:val="2"/>
        <w:keepNext w:val="0"/>
        <w:keepLines w:val="0"/>
        <w:widowControl/>
        <w:suppressLineNumbers w:val="0"/>
        <w:spacing w:before="0" w:beforeAutospacing="0" w:after="0" w:afterAutospacing="0" w:line="465" w:lineRule="atLeast"/>
        <w:ind w:left="0" w:right="0"/>
        <w:jc w:val="left"/>
      </w:pPr>
      <w:r>
        <w:rPr>
          <w:rStyle w:val="4"/>
          <w:rFonts w:hint="eastAsia" w:ascii="宋体" w:hAnsi="宋体" w:eastAsia="宋体" w:cs="宋体"/>
          <w:color w:val="000000"/>
          <w:sz w:val="24"/>
          <w:szCs w:val="24"/>
        </w:rPr>
        <w:t>资料来源：</w:t>
      </w:r>
    </w:p>
    <w:p>
      <w:pPr>
        <w:pStyle w:val="2"/>
        <w:keepNext w:val="0"/>
        <w:keepLines w:val="0"/>
        <w:widowControl/>
        <w:suppressLineNumbers w:val="0"/>
        <w:spacing w:before="0" w:beforeAutospacing="0" w:after="0" w:afterAutospacing="0" w:line="465" w:lineRule="atLeast"/>
        <w:ind w:left="0" w:right="0" w:firstLine="480"/>
        <w:jc w:val="left"/>
      </w:pPr>
      <w:r>
        <w:rPr>
          <w:rFonts w:hint="eastAsia" w:ascii="宋体" w:hAnsi="宋体" w:eastAsia="宋体" w:cs="宋体"/>
          <w:b w:val="0"/>
          <w:color w:val="000000"/>
          <w:sz w:val="24"/>
          <w:szCs w:val="24"/>
        </w:rPr>
        <w:t>本公报中财政数据来自市财政局；新增城镇就业、登记失业率、社会养老保障数据来自市人力社保局；医疗保障数据来自市医保局；粮食生产功能区、农业龙头企业、美丽乡村建设、农家乐等数据来自市农业农村局；市场主体、商品交易实体市场和交易额数据来自市市场监管局；货物进出口总额、一般贸易和加工贸易进出口额来自绍兴海关；产品进出口、服务贸易进出口、国外经济合作、网络零售额等数据来自市商务局；利用外资数据来自市招商投资促进中心；公路里程、货物周转量、旅客周转量等数据来自市交通运输局；户籍人口、汽车拥有量等数据来自市公安局；邮政业务数据来自市邮政局；电话用户、互联网用户等数据来自电信绍兴分公司、移动绍兴分公司、联通绍兴分公司；公共图书馆、文化馆、博物馆、艺术表演团体、广播、电视、旅游等数据来自市文广旅游局；货币金融数据来自人民银行绍兴分行；上市公司数据来自市金融办；保险业数据来自市保险行业协会；教育数据来自市教育局；企业技术中心、高新技术企业、专利等数据来自市科技局；卫生等数据来自市卫健委；体育、体育彩票数据来自市体育局；低保、社会服务和救助、福利彩票数据来自市民政局；水资源、水利建设投资数据来自市水利局；耕地面积、森林资源等数据来自市自然资源和规划局；气象数据来自市气象局；环境监测数据来自市生态环境局；保障性安居工程住房数据来自市住建局；各类事故发生起数、死亡人数来自市应急管理局；价格、城乡居民收支、家庭耐用品拥有量等数据来自国家统计局绍兴调查队；其它数据均来自于市统计局。</w:t>
      </w:r>
    </w:p>
    <w:p>
      <w:pPr>
        <w:pStyle w:val="2"/>
        <w:keepNext w:val="0"/>
        <w:keepLines w:val="0"/>
        <w:widowControl/>
        <w:suppressLineNumbers w:val="0"/>
        <w:spacing w:before="0" w:beforeAutospacing="0" w:after="0" w:afterAutospacing="0" w:line="585" w:lineRule="atLeast"/>
        <w:ind w:left="0" w:right="0" w:firstLine="3675"/>
        <w:jc w:val="left"/>
      </w:pPr>
      <w:r>
        <w:rPr>
          <w:rFonts w:hint="default" w:ascii="Times New Roman" w:hAnsi="Times New Roman" w:eastAsia="宋体" w:cs="Times New Roman"/>
          <w:b w:val="0"/>
          <w:color w:val="333333"/>
          <w:sz w:val="31"/>
          <w:szCs w:val="31"/>
        </w:rPr>
        <w:t> </w:t>
      </w:r>
    </w:p>
    <w:p>
      <w:pPr>
        <w:pStyle w:val="2"/>
        <w:keepNext w:val="0"/>
        <w:keepLines w:val="0"/>
        <w:widowControl/>
        <w:suppressLineNumbers w:val="0"/>
        <w:spacing w:line="390" w:lineRule="atLeast"/>
        <w:jc w:val="left"/>
      </w:pPr>
      <w:r>
        <w:rPr>
          <w:rFonts w:hint="eastAsia" w:ascii="宋体" w:hAnsi="宋体" w:eastAsia="宋体" w:cs="宋体"/>
          <w:b w:val="0"/>
          <w:color w:val="333333"/>
          <w:sz w:val="24"/>
          <w:szCs w:val="24"/>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E122D"/>
    <w:rsid w:val="351E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u w:val="none"/>
    </w:rPr>
  </w:style>
  <w:style w:type="character" w:styleId="6">
    <w:name w:val="Emphasis"/>
    <w:basedOn w:val="3"/>
    <w:qFormat/>
    <w:uiPriority w:val="0"/>
  </w:style>
  <w:style w:type="character" w:styleId="7">
    <w:name w:val="Hyperlink"/>
    <w:basedOn w:val="3"/>
    <w:uiPriority w:val="0"/>
    <w:rPr>
      <w:color w:val="444444"/>
      <w:u w:val="none"/>
    </w:rPr>
  </w:style>
  <w:style w:type="character" w:customStyle="1" w:styleId="9">
    <w:name w:val="next"/>
    <w:basedOn w:val="3"/>
    <w:uiPriority w:val="0"/>
  </w:style>
  <w:style w:type="character" w:customStyle="1" w:styleId="10">
    <w:name w:val="prev"/>
    <w:basedOn w:val="3"/>
    <w:uiPriority w:val="0"/>
  </w:style>
  <w:style w:type="character" w:customStyle="1" w:styleId="11">
    <w:name w:val="w30"/>
    <w:basedOn w:val="3"/>
    <w:uiPriority w:val="0"/>
  </w:style>
  <w:style w:type="character" w:customStyle="1" w:styleId="12">
    <w:name w:val="w10"/>
    <w:basedOn w:val="3"/>
    <w:uiPriority w:val="0"/>
    <w:rPr>
      <w:bdr w:val="none" w:color="auto" w:sz="0" w:space="0"/>
    </w:rPr>
  </w:style>
  <w:style w:type="character" w:customStyle="1" w:styleId="13">
    <w:name w:val="w20"/>
    <w:basedOn w:val="3"/>
    <w:uiPriority w:val="0"/>
  </w:style>
  <w:style w:type="character" w:customStyle="1" w:styleId="14">
    <w:name w:val="prev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2020-01-13T07:42:00Z</dcterms:created>
  <dc:creator>俞刚</dc:creator>
  <cp:lastModifiedBy>俞刚</cp:lastModifiedBy>
  <dcterms:modified xsi:type="dcterms:W3CDTF">2020-01-13T07:50:56Z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