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19" w:rsidRPr="00201219" w:rsidRDefault="00201219" w:rsidP="00201219">
      <w:pPr>
        <w:spacing w:line="600" w:lineRule="exact"/>
        <w:jc w:val="center"/>
        <w:rPr>
          <w:rFonts w:ascii="方正小标宋简体" w:eastAsia="方正小标宋简体" w:hAnsi="黑体" w:hint="eastAsia"/>
          <w:b/>
          <w:color w:val="000000"/>
          <w:spacing w:val="-6"/>
          <w:sz w:val="44"/>
          <w:szCs w:val="44"/>
        </w:rPr>
      </w:pPr>
      <w:bookmarkStart w:id="0" w:name="OLE_LINK1"/>
      <w:r w:rsidRPr="00201219">
        <w:rPr>
          <w:rStyle w:val="a5"/>
          <w:rFonts w:ascii="方正小标宋简体" w:eastAsia="方正小标宋简体" w:hAnsi="黑体" w:hint="eastAsia"/>
          <w:b w:val="0"/>
          <w:color w:val="000000"/>
          <w:spacing w:val="-6"/>
          <w:sz w:val="44"/>
          <w:szCs w:val="44"/>
        </w:rPr>
        <w:t>2014年温州市国民经济和社会发展统计公报</w:t>
      </w:r>
    </w:p>
    <w:p w:rsidR="00201219" w:rsidRPr="009D60C7" w:rsidRDefault="00201219" w:rsidP="00201219">
      <w:pPr>
        <w:spacing w:line="600" w:lineRule="exact"/>
        <w:jc w:val="center"/>
        <w:rPr>
          <w:rFonts w:eastAsia="仿宋_GB2312" w:hint="eastAsia"/>
          <w:color w:val="000000"/>
          <w:sz w:val="32"/>
        </w:rPr>
      </w:pPr>
    </w:p>
    <w:p w:rsidR="00201219" w:rsidRPr="00201219" w:rsidRDefault="00201219" w:rsidP="00201219">
      <w:pPr>
        <w:spacing w:line="600" w:lineRule="exact"/>
        <w:jc w:val="center"/>
        <w:rPr>
          <w:rFonts w:ascii="楷体_GB2312" w:eastAsia="楷体_GB2312" w:hint="eastAsia"/>
          <w:color w:val="000000"/>
          <w:sz w:val="32"/>
          <w:szCs w:val="32"/>
        </w:rPr>
      </w:pPr>
      <w:r w:rsidRPr="00201219">
        <w:rPr>
          <w:rFonts w:ascii="楷体_GB2312" w:eastAsia="楷体_GB2312" w:hint="eastAsia"/>
          <w:color w:val="000000"/>
          <w:sz w:val="32"/>
          <w:szCs w:val="32"/>
        </w:rPr>
        <w:t>温州市统计局   国家统计局温州调查队</w:t>
      </w:r>
    </w:p>
    <w:p w:rsidR="00201219" w:rsidRPr="00201219" w:rsidRDefault="00201219" w:rsidP="00201219">
      <w:pPr>
        <w:spacing w:line="600" w:lineRule="exact"/>
        <w:jc w:val="center"/>
        <w:rPr>
          <w:rFonts w:ascii="楷体_GB2312" w:eastAsia="楷体_GB2312" w:hint="eastAsia"/>
          <w:color w:val="000000"/>
          <w:sz w:val="32"/>
          <w:szCs w:val="32"/>
        </w:rPr>
      </w:pPr>
      <w:r w:rsidRPr="00201219">
        <w:rPr>
          <w:rFonts w:ascii="楷体_GB2312" w:eastAsia="楷体_GB2312" w:hint="eastAsia"/>
          <w:color w:val="000000"/>
          <w:sz w:val="32"/>
          <w:szCs w:val="32"/>
        </w:rPr>
        <w:t>（2015年3月28日）</w:t>
      </w:r>
    </w:p>
    <w:p w:rsidR="00201219" w:rsidRPr="009D60C7" w:rsidRDefault="00201219" w:rsidP="00201219">
      <w:pPr>
        <w:spacing w:line="320" w:lineRule="atLeast"/>
        <w:ind w:firstLine="690"/>
        <w:rPr>
          <w:rFonts w:eastAsia="仿宋_GB2312" w:hint="eastAsia"/>
          <w:color w:val="00000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2014年，全市上下认真贯彻市委、市政府的决策部署，面对严峻复杂的经济金融局面，负重前行、奋力赶超，深入实施“十大举措”，着力抓改革、稳增长、促转型、强统筹、治环境、惠民生，经济运行逐步走出“低谷”，总体发展企稳向好，结构调整出现积极变化，发展质量不断提高，民生投入力度加大，社会事业稳定发展。</w:t>
      </w:r>
    </w:p>
    <w:p w:rsidR="00201219" w:rsidRDefault="00201219" w:rsidP="00201219">
      <w:pPr>
        <w:spacing w:line="600" w:lineRule="exact"/>
        <w:jc w:val="center"/>
        <w:rPr>
          <w:rFonts w:eastAsia="黑体" w:hint="eastAsia"/>
          <w:color w:val="000000"/>
          <w:sz w:val="32"/>
        </w:rPr>
      </w:pPr>
    </w:p>
    <w:p w:rsidR="00201219" w:rsidRPr="009D60C7" w:rsidRDefault="00201219" w:rsidP="00201219">
      <w:pPr>
        <w:spacing w:line="600" w:lineRule="exact"/>
        <w:jc w:val="center"/>
        <w:rPr>
          <w:rFonts w:eastAsia="黑体" w:hint="eastAsia"/>
          <w:b/>
          <w:color w:val="000000"/>
          <w:sz w:val="32"/>
        </w:rPr>
      </w:pPr>
      <w:r w:rsidRPr="009D60C7">
        <w:rPr>
          <w:rFonts w:eastAsia="黑体" w:hint="eastAsia"/>
          <w:color w:val="000000"/>
          <w:sz w:val="32"/>
        </w:rPr>
        <w:t>一、</w:t>
      </w:r>
      <w:r w:rsidRPr="009D60C7">
        <w:rPr>
          <w:rFonts w:eastAsia="黑体" w:hint="eastAsia"/>
          <w:b/>
          <w:color w:val="000000"/>
          <w:sz w:val="32"/>
        </w:rPr>
        <w:t>综合</w:t>
      </w:r>
    </w:p>
    <w:p w:rsidR="00201219" w:rsidRPr="009D60C7" w:rsidRDefault="00201219" w:rsidP="00201219">
      <w:pPr>
        <w:spacing w:line="600" w:lineRule="exact"/>
        <w:ind w:firstLineChars="200" w:firstLine="600"/>
        <w:rPr>
          <w:rFonts w:eastAsia="仿宋_GB2312" w:hint="eastAsia"/>
          <w:color w:val="00000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初步核算，2014年全市生产总值4302.81亿元，按可比价计算，比上年增长7.2％。其中，第一产业增加值117.92亿元，增长2.1％；第二产业增加值2046.23亿元，增长8.4％；第三产业增加值2138.66亿元，增长6.2％。按户籍人口计算，人均地区生产总值53091元（按年平均汇率折算8643美元），增长6.3％。国民经济三次产业结构为2.7：47.6：49.7，第三产业比重比上年提升0.1个百分点。</w:t>
      </w:r>
    </w:p>
    <w:p w:rsidR="00201219" w:rsidRPr="009D60C7" w:rsidRDefault="00201219" w:rsidP="00201219">
      <w:pPr>
        <w:spacing w:line="320" w:lineRule="atLeast"/>
        <w:jc w:val="center"/>
        <w:rPr>
          <w:rFonts w:eastAsia="仿宋_GB2312" w:hint="eastAsia"/>
          <w:color w:val="000000"/>
          <w:sz w:val="30"/>
          <w:szCs w:val="30"/>
        </w:rPr>
      </w:pPr>
      <w:r w:rsidRPr="006E46D2">
        <w:rPr>
          <w:noProof/>
        </w:rPr>
        <w:lastRenderedPageBreak/>
        <w:drawing>
          <wp:inline distT="0" distB="0" distL="0" distR="0">
            <wp:extent cx="5229225" cy="3219450"/>
            <wp:effectExtent l="0" t="0" r="0" b="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居民消费价格指数（CPI）比上年上涨1.8％，涨幅较上年回落0.1个百分点。八大类商品和服务价格呈现“七涨一跌”态势。其中食品类涨幅较大，累计上涨3.8%，娱乐教育文化用品及服务类次之，上涨2.5%，衣着、医疗保健和个人用品、交通与通信、家庭设备用品及维修服务、居住类，比上年分别上涨2.2%、1.5%、0.5%、0.2%、0.1%；下降的为烟酒类，下降0.8%。全年工业生产者出厂价格和购进价格同比均下降1.0%。</w:t>
      </w:r>
    </w:p>
    <w:p w:rsidR="00201219" w:rsidRPr="00F14304" w:rsidRDefault="00201219" w:rsidP="00201219">
      <w:pPr>
        <w:spacing w:line="320" w:lineRule="atLeast"/>
        <w:jc w:val="center"/>
        <w:rPr>
          <w:rFonts w:eastAsia="仿宋_GB2312" w:hint="eastAsia"/>
          <w:color w:val="000000"/>
          <w:sz w:val="30"/>
          <w:szCs w:val="30"/>
        </w:rPr>
      </w:pPr>
      <w:r w:rsidRPr="00DF73F4">
        <w:rPr>
          <w:noProof/>
        </w:rPr>
        <w:lastRenderedPageBreak/>
        <w:drawing>
          <wp:inline distT="0" distB="0" distL="0" distR="0">
            <wp:extent cx="5266055" cy="3152140"/>
            <wp:effectExtent l="0" t="0" r="10795" b="1016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全年新增城镇就业人数</w:t>
      </w:r>
      <w:r w:rsidRPr="00201219">
        <w:rPr>
          <w:rFonts w:ascii="仿宋_GB2312" w:eastAsia="仿宋_GB2312"/>
          <w:color w:val="000000"/>
          <w:sz w:val="32"/>
          <w:szCs w:val="32"/>
        </w:rPr>
        <w:t>12.18</w:t>
      </w:r>
      <w:r w:rsidRPr="00201219">
        <w:rPr>
          <w:rFonts w:ascii="仿宋_GB2312" w:eastAsia="仿宋_GB2312" w:hint="eastAsia"/>
          <w:color w:val="000000"/>
          <w:sz w:val="32"/>
          <w:szCs w:val="32"/>
        </w:rPr>
        <w:t>万人，城镇失业人员再就业人数1.93万人；</w:t>
      </w:r>
      <w:r w:rsidRPr="00201219">
        <w:rPr>
          <w:rFonts w:ascii="仿宋_GB2312" w:eastAsia="仿宋_GB2312"/>
          <w:color w:val="000000"/>
          <w:sz w:val="32"/>
          <w:szCs w:val="32"/>
        </w:rPr>
        <w:t>年末</w:t>
      </w:r>
      <w:r w:rsidRPr="00201219">
        <w:rPr>
          <w:rFonts w:ascii="仿宋_GB2312" w:eastAsia="仿宋_GB2312" w:hint="eastAsia"/>
          <w:color w:val="000000"/>
          <w:sz w:val="32"/>
          <w:szCs w:val="32"/>
        </w:rPr>
        <w:t>城镇登记失业人数2.62万人，</w:t>
      </w:r>
      <w:r w:rsidRPr="00201219">
        <w:rPr>
          <w:rFonts w:ascii="仿宋_GB2312" w:eastAsia="仿宋_GB2312"/>
          <w:color w:val="000000"/>
          <w:sz w:val="32"/>
          <w:szCs w:val="32"/>
        </w:rPr>
        <w:t>城镇登记失业率为</w:t>
      </w:r>
      <w:r w:rsidRPr="00201219">
        <w:rPr>
          <w:rFonts w:ascii="仿宋_GB2312" w:eastAsia="仿宋_GB2312" w:hint="eastAsia"/>
          <w:color w:val="000000"/>
          <w:sz w:val="32"/>
          <w:szCs w:val="32"/>
        </w:rPr>
        <w:t>1.91％</w:t>
      </w:r>
      <w:r w:rsidRPr="00201219">
        <w:rPr>
          <w:rFonts w:ascii="仿宋_GB2312" w:eastAsia="仿宋_GB2312"/>
          <w:color w:val="000000"/>
          <w:sz w:val="32"/>
          <w:szCs w:val="32"/>
        </w:rPr>
        <w:t>，</w:t>
      </w:r>
      <w:r w:rsidRPr="00201219">
        <w:rPr>
          <w:rFonts w:ascii="仿宋_GB2312" w:eastAsia="仿宋_GB2312" w:hint="eastAsia"/>
          <w:color w:val="000000"/>
          <w:sz w:val="32"/>
          <w:szCs w:val="32"/>
        </w:rPr>
        <w:t>比</w:t>
      </w:r>
      <w:r w:rsidRPr="00201219">
        <w:rPr>
          <w:rFonts w:ascii="仿宋_GB2312" w:eastAsia="仿宋_GB2312"/>
          <w:color w:val="000000"/>
          <w:sz w:val="32"/>
          <w:szCs w:val="32"/>
        </w:rPr>
        <w:t>上年末</w:t>
      </w:r>
      <w:r w:rsidRPr="00201219">
        <w:rPr>
          <w:rFonts w:ascii="仿宋_GB2312" w:eastAsia="仿宋_GB2312" w:hint="eastAsia"/>
          <w:color w:val="000000"/>
          <w:sz w:val="32"/>
          <w:szCs w:val="32"/>
        </w:rPr>
        <w:t>下降0.03个百分点</w:t>
      </w:r>
      <w:r w:rsidRPr="00201219">
        <w:rPr>
          <w:rFonts w:ascii="仿宋_GB2312" w:eastAsia="仿宋_GB2312"/>
          <w:color w:val="000000"/>
          <w:sz w:val="32"/>
          <w:szCs w:val="32"/>
        </w:rPr>
        <w:t>。</w:t>
      </w:r>
      <w:r w:rsidRPr="00201219">
        <w:rPr>
          <w:rFonts w:ascii="仿宋_GB2312" w:eastAsia="仿宋_GB2312" w:hint="eastAsia"/>
          <w:color w:val="000000"/>
          <w:sz w:val="32"/>
          <w:szCs w:val="32"/>
        </w:rPr>
        <w:t>全年培训农村劳动力3.93万人，实现转移就业2.14万人。</w:t>
      </w:r>
    </w:p>
    <w:p w:rsidR="00201219" w:rsidRPr="00201219" w:rsidRDefault="00201219" w:rsidP="00201219">
      <w:pPr>
        <w:spacing w:line="600" w:lineRule="exact"/>
        <w:jc w:val="center"/>
        <w:rPr>
          <w:rFonts w:eastAsia="黑体" w:hint="eastAsia"/>
          <w:color w:val="000000"/>
          <w:sz w:val="32"/>
        </w:rPr>
      </w:pPr>
    </w:p>
    <w:p w:rsidR="00201219" w:rsidRPr="00201219" w:rsidRDefault="00201219" w:rsidP="00201219">
      <w:pPr>
        <w:spacing w:line="600" w:lineRule="exact"/>
        <w:jc w:val="center"/>
        <w:rPr>
          <w:rFonts w:eastAsia="黑体" w:hint="eastAsia"/>
          <w:color w:val="000000"/>
          <w:sz w:val="32"/>
        </w:rPr>
      </w:pPr>
      <w:r w:rsidRPr="00201219">
        <w:rPr>
          <w:rFonts w:eastAsia="黑体" w:hint="eastAsia"/>
          <w:color w:val="000000"/>
          <w:sz w:val="32"/>
        </w:rPr>
        <w:t>二、农业和农村建设</w:t>
      </w:r>
    </w:p>
    <w:p w:rsidR="00201219" w:rsidRPr="00201219" w:rsidRDefault="00201219" w:rsidP="00201219">
      <w:pPr>
        <w:spacing w:line="600" w:lineRule="exact"/>
        <w:ind w:firstLine="645"/>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hint="eastAsia"/>
          <w:color w:val="000000"/>
          <w:sz w:val="32"/>
          <w:szCs w:val="32"/>
        </w:rPr>
        <w:t>全年农林牧渔业总产值192.25亿元，按可比价格计算，比上年增长2.3％，其中：农业产值86.64亿元，增长6.0％；林业产值4.38亿元，下降1.3％；牧业产值34.50亿元，下降5.6％；渔业产值63.12亿元，增长2.4％；农林牧渔服务业产值3.62亿元，增长2.2％。</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全年全市粮食播种面积、亩产和总产量为185.96万亩、409公斤和75.98万吨，分别比上年增长1.0%、10.5%和11.5%，</w:t>
      </w:r>
      <w:r w:rsidRPr="00201219">
        <w:rPr>
          <w:rFonts w:ascii="仿宋_GB2312" w:eastAsia="仿宋_GB2312" w:hint="eastAsia"/>
          <w:color w:val="000000"/>
          <w:sz w:val="32"/>
          <w:szCs w:val="32"/>
        </w:rPr>
        <w:lastRenderedPageBreak/>
        <w:t>实现三增长。在经济作物中，除糖料减产外，水果、蔬菜、茶叶等作物增产。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1980"/>
      </w:tblGrid>
      <w:tr w:rsidR="00201219" w:rsidTr="00201219">
        <w:trPr>
          <w:jc w:val="center"/>
        </w:trPr>
        <w:tc>
          <w:tcPr>
            <w:tcW w:w="6120" w:type="dxa"/>
            <w:gridSpan w:val="3"/>
            <w:tcBorders>
              <w:top w:val="single" w:sz="4" w:space="0" w:color="FFFFFF"/>
              <w:left w:val="single" w:sz="4" w:space="0" w:color="FFFFFF"/>
              <w:bottom w:val="single" w:sz="12" w:space="0" w:color="000000"/>
              <w:right w:val="single" w:sz="4" w:space="0" w:color="FFFFFF"/>
            </w:tcBorders>
            <w:hideMark/>
          </w:tcPr>
          <w:p w:rsidR="00201219" w:rsidRPr="00201219" w:rsidRDefault="00201219" w:rsidP="00201219">
            <w:pPr>
              <w:spacing w:line="400" w:lineRule="exact"/>
              <w:ind w:firstLineChars="150" w:firstLine="420"/>
              <w:rPr>
                <w:rFonts w:ascii="黑体" w:eastAsia="黑体" w:hAnsi="黑体" w:cs="宋体"/>
                <w:color w:val="000000"/>
                <w:kern w:val="0"/>
                <w:sz w:val="28"/>
                <w:szCs w:val="28"/>
              </w:rPr>
            </w:pPr>
            <w:r w:rsidRPr="00201219">
              <w:rPr>
                <w:rFonts w:ascii="黑体" w:eastAsia="黑体" w:hAnsi="黑体" w:hint="eastAsia"/>
                <w:bCs/>
                <w:color w:val="000000"/>
                <w:sz w:val="28"/>
                <w:szCs w:val="28"/>
              </w:rPr>
              <w:t>表</w:t>
            </w:r>
            <w:r>
              <w:rPr>
                <w:rFonts w:ascii="黑体" w:eastAsia="黑体" w:hAnsi="黑体"/>
                <w:bCs/>
                <w:color w:val="000000"/>
                <w:sz w:val="28"/>
                <w:szCs w:val="28"/>
              </w:rPr>
              <w:t xml:space="preserve">1   </w:t>
            </w:r>
            <w:r w:rsidRPr="00201219">
              <w:rPr>
                <w:rFonts w:ascii="黑体" w:eastAsia="黑体" w:hAnsi="黑体"/>
                <w:bCs/>
                <w:color w:val="000000"/>
                <w:sz w:val="28"/>
                <w:szCs w:val="28"/>
              </w:rPr>
              <w:t>2014</w:t>
            </w:r>
            <w:r w:rsidRPr="00201219">
              <w:rPr>
                <w:rFonts w:ascii="黑体" w:eastAsia="黑体" w:hAnsi="黑体" w:hint="eastAsia"/>
                <w:bCs/>
                <w:color w:val="000000"/>
                <w:sz w:val="28"/>
                <w:szCs w:val="28"/>
              </w:rPr>
              <w:t>年主要农产品产量</w:t>
            </w:r>
          </w:p>
        </w:tc>
      </w:tr>
      <w:tr w:rsidR="00201219" w:rsidTr="00201219">
        <w:trPr>
          <w:jc w:val="center"/>
        </w:trPr>
        <w:tc>
          <w:tcPr>
            <w:tcW w:w="1980" w:type="dxa"/>
            <w:tcBorders>
              <w:top w:val="single" w:sz="12" w:space="0" w:color="000000"/>
              <w:left w:val="single" w:sz="4" w:space="0" w:color="FFFFFF"/>
              <w:bottom w:val="single" w:sz="2" w:space="0" w:color="000000"/>
              <w:right w:val="single" w:sz="4" w:space="0" w:color="auto"/>
            </w:tcBorders>
            <w:vAlign w:val="center"/>
            <w:hideMark/>
          </w:tcPr>
          <w:p w:rsidR="00201219" w:rsidRPr="00201219" w:rsidRDefault="00201219" w:rsidP="00201219">
            <w:pPr>
              <w:spacing w:line="400" w:lineRule="exact"/>
              <w:ind w:left="57" w:right="57"/>
              <w:jc w:val="center"/>
              <w:rPr>
                <w:rFonts w:asciiTheme="minorEastAsia" w:eastAsiaTheme="minorEastAsia" w:hAnsiTheme="minorEastAsia" w:cs="宋体"/>
                <w:iCs/>
                <w:color w:val="000000"/>
                <w:sz w:val="24"/>
              </w:rPr>
            </w:pPr>
            <w:r w:rsidRPr="00201219">
              <w:rPr>
                <w:rFonts w:asciiTheme="minorEastAsia" w:eastAsiaTheme="minorEastAsia" w:hAnsiTheme="minorEastAsia" w:cs="宋体" w:hint="eastAsia"/>
                <w:iCs/>
                <w:color w:val="000000"/>
                <w:sz w:val="24"/>
              </w:rPr>
              <w:t>指</w:t>
            </w:r>
            <w:r w:rsidRPr="00201219">
              <w:rPr>
                <w:rFonts w:asciiTheme="minorEastAsia" w:eastAsiaTheme="minorEastAsia" w:hAnsiTheme="minorEastAsia"/>
                <w:iCs/>
                <w:color w:val="000000"/>
                <w:sz w:val="24"/>
              </w:rPr>
              <w:t xml:space="preserve">  </w:t>
            </w:r>
            <w:r w:rsidRPr="00201219">
              <w:rPr>
                <w:rFonts w:asciiTheme="minorEastAsia" w:eastAsiaTheme="minorEastAsia" w:hAnsiTheme="minorEastAsia" w:cs="宋体" w:hint="eastAsia"/>
                <w:iCs/>
                <w:color w:val="000000"/>
                <w:sz w:val="24"/>
              </w:rPr>
              <w:t>标</w:t>
            </w:r>
          </w:p>
        </w:tc>
        <w:tc>
          <w:tcPr>
            <w:tcW w:w="2160" w:type="dxa"/>
            <w:tcBorders>
              <w:top w:val="single" w:sz="12" w:space="0" w:color="000000"/>
              <w:left w:val="single" w:sz="4" w:space="0" w:color="auto"/>
              <w:bottom w:val="single" w:sz="2" w:space="0" w:color="000000"/>
              <w:right w:val="single" w:sz="4" w:space="0" w:color="auto"/>
            </w:tcBorders>
            <w:vAlign w:val="center"/>
            <w:hideMark/>
          </w:tcPr>
          <w:p w:rsidR="00201219" w:rsidRPr="00201219" w:rsidRDefault="00201219" w:rsidP="00201219">
            <w:pPr>
              <w:spacing w:line="400" w:lineRule="exact"/>
              <w:ind w:left="57" w:right="57"/>
              <w:jc w:val="center"/>
              <w:rPr>
                <w:rFonts w:asciiTheme="minorEastAsia" w:eastAsiaTheme="minorEastAsia" w:hAnsiTheme="minorEastAsia" w:cs="宋体"/>
                <w:iCs/>
                <w:color w:val="000000"/>
                <w:sz w:val="24"/>
              </w:rPr>
            </w:pPr>
            <w:r w:rsidRPr="00201219">
              <w:rPr>
                <w:rFonts w:asciiTheme="minorEastAsia" w:eastAsiaTheme="minorEastAsia" w:hAnsiTheme="minorEastAsia" w:cs="宋体" w:hint="eastAsia"/>
                <w:iCs/>
                <w:color w:val="000000"/>
                <w:sz w:val="24"/>
              </w:rPr>
              <w:t>产量（万吨）</w:t>
            </w:r>
          </w:p>
        </w:tc>
        <w:tc>
          <w:tcPr>
            <w:tcW w:w="1980" w:type="dxa"/>
            <w:tcBorders>
              <w:top w:val="single" w:sz="12" w:space="0" w:color="000000"/>
              <w:left w:val="single" w:sz="4" w:space="0" w:color="auto"/>
              <w:bottom w:val="single" w:sz="2" w:space="0" w:color="000000"/>
              <w:right w:val="single" w:sz="4" w:space="0" w:color="FFFFFF"/>
            </w:tcBorders>
            <w:vAlign w:val="center"/>
            <w:hideMark/>
          </w:tcPr>
          <w:p w:rsidR="00201219" w:rsidRPr="00201219" w:rsidRDefault="00201219" w:rsidP="00201219">
            <w:pPr>
              <w:spacing w:line="400" w:lineRule="exact"/>
              <w:ind w:left="57" w:right="57"/>
              <w:jc w:val="center"/>
              <w:rPr>
                <w:rFonts w:asciiTheme="minorEastAsia" w:eastAsiaTheme="minorEastAsia" w:hAnsiTheme="minorEastAsia"/>
                <w:iCs/>
                <w:color w:val="000000"/>
                <w:sz w:val="24"/>
              </w:rPr>
            </w:pPr>
            <w:r w:rsidRPr="00201219">
              <w:rPr>
                <w:rFonts w:asciiTheme="minorEastAsia" w:eastAsiaTheme="minorEastAsia" w:hAnsiTheme="minorEastAsia" w:cs="宋体" w:hint="eastAsia"/>
                <w:iCs/>
                <w:color w:val="000000"/>
                <w:sz w:val="24"/>
              </w:rPr>
              <w:t>比上年增长（</w:t>
            </w:r>
            <w:r w:rsidRPr="00201219">
              <w:rPr>
                <w:rFonts w:asciiTheme="minorEastAsia" w:eastAsiaTheme="minorEastAsia" w:hAnsiTheme="minorEastAsia"/>
                <w:iCs/>
                <w:color w:val="000000"/>
                <w:sz w:val="24"/>
              </w:rPr>
              <w:t>%</w:t>
            </w:r>
            <w:r w:rsidRPr="00201219">
              <w:rPr>
                <w:rFonts w:asciiTheme="minorEastAsia" w:eastAsiaTheme="minorEastAsia" w:hAnsiTheme="minorEastAsia" w:hint="eastAsia"/>
                <w:iCs/>
                <w:color w:val="000000"/>
                <w:sz w:val="24"/>
              </w:rPr>
              <w:t>）</w:t>
            </w:r>
          </w:p>
        </w:tc>
      </w:tr>
      <w:tr w:rsidR="00201219" w:rsidTr="00201219">
        <w:trPr>
          <w:jc w:val="center"/>
        </w:trPr>
        <w:tc>
          <w:tcPr>
            <w:tcW w:w="1980"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hint="eastAsia"/>
                <w:color w:val="000000"/>
                <w:sz w:val="24"/>
              </w:rPr>
              <w:t>粮食</w:t>
            </w:r>
          </w:p>
        </w:tc>
        <w:tc>
          <w:tcPr>
            <w:tcW w:w="2160" w:type="dxa"/>
            <w:tcBorders>
              <w:top w:val="single" w:sz="2" w:space="0" w:color="000000"/>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75.98</w:t>
            </w:r>
          </w:p>
        </w:tc>
        <w:tc>
          <w:tcPr>
            <w:tcW w:w="1980"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11.5</w:t>
            </w:r>
          </w:p>
        </w:tc>
      </w:tr>
      <w:tr w:rsidR="00201219" w:rsidTr="00201219">
        <w:trPr>
          <w:jc w:val="center"/>
        </w:trPr>
        <w:tc>
          <w:tcPr>
            <w:tcW w:w="1980"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hint="eastAsia"/>
                <w:color w:val="000000"/>
                <w:sz w:val="24"/>
              </w:rPr>
              <w:t>水果</w:t>
            </w:r>
          </w:p>
        </w:tc>
        <w:tc>
          <w:tcPr>
            <w:tcW w:w="2160" w:type="dxa"/>
            <w:tcBorders>
              <w:top w:val="single" w:sz="2" w:space="0" w:color="000000"/>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46.90</w:t>
            </w:r>
          </w:p>
        </w:tc>
        <w:tc>
          <w:tcPr>
            <w:tcW w:w="1980"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9.0</w:t>
            </w:r>
          </w:p>
        </w:tc>
      </w:tr>
      <w:tr w:rsidR="00201219" w:rsidTr="00201219">
        <w:trPr>
          <w:jc w:val="center"/>
        </w:trPr>
        <w:tc>
          <w:tcPr>
            <w:tcW w:w="1980"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firstLineChars="50" w:firstLine="120"/>
              <w:rPr>
                <w:rFonts w:asciiTheme="minorEastAsia" w:eastAsiaTheme="minorEastAsia" w:hAnsiTheme="minorEastAsia"/>
                <w:color w:val="000000"/>
                <w:sz w:val="24"/>
              </w:rPr>
            </w:pPr>
            <w:r w:rsidRPr="00201219">
              <w:rPr>
                <w:rFonts w:asciiTheme="minorEastAsia" w:eastAsiaTheme="minorEastAsia" w:hAnsiTheme="minorEastAsia"/>
                <w:color w:val="000000"/>
                <w:sz w:val="24"/>
              </w:rPr>
              <w:t>#</w:t>
            </w:r>
            <w:r w:rsidRPr="00201219">
              <w:rPr>
                <w:rFonts w:asciiTheme="minorEastAsia" w:eastAsiaTheme="minorEastAsia" w:hAnsiTheme="minorEastAsia" w:hint="eastAsia"/>
                <w:color w:val="000000"/>
                <w:sz w:val="24"/>
              </w:rPr>
              <w:t>园林水果</w:t>
            </w:r>
          </w:p>
        </w:tc>
        <w:tc>
          <w:tcPr>
            <w:tcW w:w="2160" w:type="dxa"/>
            <w:tcBorders>
              <w:top w:val="single" w:sz="2" w:space="0" w:color="000000"/>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23.16</w:t>
            </w:r>
          </w:p>
        </w:tc>
        <w:tc>
          <w:tcPr>
            <w:tcW w:w="1980"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15.7</w:t>
            </w:r>
          </w:p>
        </w:tc>
      </w:tr>
      <w:tr w:rsidR="00201219" w:rsidTr="00201219">
        <w:trPr>
          <w:jc w:val="center"/>
        </w:trPr>
        <w:tc>
          <w:tcPr>
            <w:tcW w:w="1980"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hint="eastAsia"/>
                <w:color w:val="000000"/>
                <w:sz w:val="24"/>
              </w:rPr>
              <w:t>蔬菜</w:t>
            </w:r>
          </w:p>
        </w:tc>
        <w:tc>
          <w:tcPr>
            <w:tcW w:w="2160"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133.92</w:t>
            </w:r>
          </w:p>
        </w:tc>
        <w:tc>
          <w:tcPr>
            <w:tcW w:w="1980"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11.6</w:t>
            </w:r>
          </w:p>
        </w:tc>
      </w:tr>
      <w:tr w:rsidR="00201219" w:rsidTr="00201219">
        <w:trPr>
          <w:jc w:val="center"/>
        </w:trPr>
        <w:tc>
          <w:tcPr>
            <w:tcW w:w="1980"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hint="eastAsia"/>
                <w:color w:val="000000"/>
                <w:sz w:val="24"/>
              </w:rPr>
              <w:t>糖料</w:t>
            </w:r>
          </w:p>
        </w:tc>
        <w:tc>
          <w:tcPr>
            <w:tcW w:w="2160" w:type="dxa"/>
            <w:tcBorders>
              <w:top w:val="single" w:sz="2" w:space="0" w:color="000000"/>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2.15</w:t>
            </w:r>
          </w:p>
        </w:tc>
        <w:tc>
          <w:tcPr>
            <w:tcW w:w="1980"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-5.3</w:t>
            </w:r>
          </w:p>
        </w:tc>
      </w:tr>
      <w:tr w:rsidR="00201219" w:rsidTr="00201219">
        <w:trPr>
          <w:jc w:val="center"/>
        </w:trPr>
        <w:tc>
          <w:tcPr>
            <w:tcW w:w="1980" w:type="dxa"/>
            <w:tcBorders>
              <w:top w:val="single" w:sz="4" w:space="0" w:color="FFFFFF"/>
              <w:left w:val="single" w:sz="4" w:space="0" w:color="FFFFFF"/>
              <w:bottom w:val="single" w:sz="12" w:space="0" w:color="000000"/>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hint="eastAsia"/>
                <w:color w:val="000000"/>
                <w:sz w:val="24"/>
              </w:rPr>
              <w:t>茶叶</w:t>
            </w:r>
          </w:p>
        </w:tc>
        <w:tc>
          <w:tcPr>
            <w:tcW w:w="2160" w:type="dxa"/>
            <w:tcBorders>
              <w:top w:val="single" w:sz="4" w:space="0" w:color="FFFFFF"/>
              <w:left w:val="single" w:sz="4" w:space="0" w:color="auto"/>
              <w:bottom w:val="single" w:sz="12" w:space="0" w:color="000000"/>
              <w:right w:val="single" w:sz="4" w:space="0" w:color="auto"/>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0.55</w:t>
            </w:r>
          </w:p>
        </w:tc>
        <w:tc>
          <w:tcPr>
            <w:tcW w:w="1980" w:type="dxa"/>
            <w:tcBorders>
              <w:top w:val="single" w:sz="4" w:space="0" w:color="FFFFFF"/>
              <w:left w:val="single" w:sz="4" w:space="0" w:color="auto"/>
              <w:bottom w:val="single" w:sz="12" w:space="0" w:color="000000"/>
              <w:right w:val="single" w:sz="4" w:space="0" w:color="FFFFFF"/>
            </w:tcBorders>
            <w:vAlign w:val="center"/>
            <w:hideMark/>
          </w:tcPr>
          <w:p w:rsidR="00201219" w:rsidRPr="00201219" w:rsidRDefault="00201219" w:rsidP="00201219">
            <w:pPr>
              <w:spacing w:line="400" w:lineRule="exact"/>
              <w:ind w:rightChars="300" w:right="630"/>
              <w:jc w:val="right"/>
              <w:rPr>
                <w:rFonts w:asciiTheme="minorEastAsia" w:eastAsiaTheme="minorEastAsia" w:hAnsiTheme="minorEastAsia" w:cs="宋体"/>
                <w:color w:val="000000"/>
                <w:kern w:val="0"/>
                <w:sz w:val="24"/>
              </w:rPr>
            </w:pPr>
            <w:r w:rsidRPr="00201219">
              <w:rPr>
                <w:rFonts w:asciiTheme="minorEastAsia" w:eastAsiaTheme="minorEastAsia" w:hAnsiTheme="minorEastAsia" w:cs="宋体"/>
                <w:color w:val="000000"/>
                <w:kern w:val="0"/>
                <w:sz w:val="24"/>
              </w:rPr>
              <w:t>6.8</w:t>
            </w:r>
          </w:p>
        </w:tc>
      </w:tr>
    </w:tbl>
    <w:p w:rsidR="00201219" w:rsidRP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hint="eastAsia"/>
          <w:color w:val="000000"/>
          <w:sz w:val="32"/>
          <w:szCs w:val="32"/>
        </w:rPr>
        <w:t>全年肉类总产量12.22万吨，比上年下降5.2％，除牛肉增长外，猪肉、羊肉、禽肉和兔肉产量比上年有所下降。全年水产品总产量58.65万吨，比上年增长2.2％。其中海洋捕捞46.13万吨，增长1.7％；淡水捕捞0.43万吨，增长17.2％；海水养殖10.02万吨，增长3.7％；淡水养殖2.07万吨，增长3.9％。</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全年水利建设完成投资</w:t>
      </w:r>
      <w:r w:rsidRPr="00201219">
        <w:rPr>
          <w:rFonts w:ascii="仿宋_GB2312" w:eastAsia="仿宋_GB2312"/>
          <w:color w:val="000000"/>
          <w:sz w:val="32"/>
          <w:szCs w:val="32"/>
        </w:rPr>
        <w:t>127.93</w:t>
      </w:r>
      <w:r w:rsidRPr="00201219">
        <w:rPr>
          <w:rFonts w:ascii="仿宋_GB2312" w:eastAsia="仿宋_GB2312" w:hint="eastAsia"/>
          <w:color w:val="000000"/>
          <w:sz w:val="32"/>
          <w:szCs w:val="32"/>
        </w:rPr>
        <w:t>亿元，年末拥有大型水库</w:t>
      </w:r>
      <w:r w:rsidRPr="00201219">
        <w:rPr>
          <w:rFonts w:ascii="仿宋_GB2312" w:eastAsia="仿宋_GB2312"/>
          <w:color w:val="000000"/>
          <w:sz w:val="32"/>
          <w:szCs w:val="32"/>
        </w:rPr>
        <w:t>1</w:t>
      </w:r>
      <w:r w:rsidRPr="00201219">
        <w:rPr>
          <w:rFonts w:ascii="仿宋_GB2312" w:eastAsia="仿宋_GB2312" w:hint="eastAsia"/>
          <w:color w:val="000000"/>
          <w:sz w:val="32"/>
          <w:szCs w:val="32"/>
        </w:rPr>
        <w:t>座，中型水库</w:t>
      </w:r>
      <w:r w:rsidRPr="00201219">
        <w:rPr>
          <w:rFonts w:ascii="仿宋_GB2312" w:eastAsia="仿宋_GB2312"/>
          <w:color w:val="000000"/>
          <w:sz w:val="32"/>
          <w:szCs w:val="32"/>
        </w:rPr>
        <w:t>19</w:t>
      </w:r>
      <w:r w:rsidRPr="00201219">
        <w:rPr>
          <w:rFonts w:ascii="仿宋_GB2312" w:eastAsia="仿宋_GB2312" w:hint="eastAsia"/>
          <w:color w:val="000000"/>
          <w:sz w:val="32"/>
          <w:szCs w:val="32"/>
        </w:rPr>
        <w:t>座，小型水库</w:t>
      </w:r>
      <w:r w:rsidRPr="00201219">
        <w:rPr>
          <w:rFonts w:ascii="仿宋_GB2312" w:eastAsia="仿宋_GB2312"/>
          <w:color w:val="000000"/>
          <w:sz w:val="32"/>
          <w:szCs w:val="32"/>
        </w:rPr>
        <w:t>310</w:t>
      </w:r>
      <w:r w:rsidRPr="00201219">
        <w:rPr>
          <w:rFonts w:ascii="仿宋_GB2312" w:eastAsia="仿宋_GB2312" w:hint="eastAsia"/>
          <w:color w:val="000000"/>
          <w:sz w:val="32"/>
          <w:szCs w:val="32"/>
        </w:rPr>
        <w:t>座。全市旱涝保收水田面积</w:t>
      </w:r>
      <w:r w:rsidRPr="00201219">
        <w:rPr>
          <w:rFonts w:ascii="仿宋_GB2312" w:eastAsia="仿宋_GB2312"/>
          <w:color w:val="000000"/>
          <w:sz w:val="32"/>
          <w:szCs w:val="32"/>
        </w:rPr>
        <w:t>56.89</w:t>
      </w:r>
      <w:r w:rsidRPr="00201219">
        <w:rPr>
          <w:rFonts w:ascii="仿宋_GB2312" w:eastAsia="仿宋_GB2312" w:hint="eastAsia"/>
          <w:color w:val="000000"/>
          <w:sz w:val="32"/>
          <w:szCs w:val="32"/>
        </w:rPr>
        <w:t>千公顷，有效灌溉面积</w:t>
      </w:r>
      <w:r w:rsidRPr="00201219">
        <w:rPr>
          <w:rFonts w:ascii="仿宋_GB2312" w:eastAsia="仿宋_GB2312"/>
          <w:color w:val="000000"/>
          <w:sz w:val="32"/>
          <w:szCs w:val="32"/>
        </w:rPr>
        <w:t>113.81</w:t>
      </w:r>
      <w:r w:rsidRPr="00201219">
        <w:rPr>
          <w:rFonts w:ascii="仿宋_GB2312" w:eastAsia="仿宋_GB2312" w:hint="eastAsia"/>
          <w:color w:val="000000"/>
          <w:sz w:val="32"/>
          <w:szCs w:val="32"/>
        </w:rPr>
        <w:t>千公顷。全市农（渔）业机械总动力</w:t>
      </w:r>
      <w:r w:rsidRPr="00201219">
        <w:rPr>
          <w:rFonts w:ascii="仿宋_GB2312" w:eastAsia="仿宋_GB2312"/>
          <w:color w:val="000000"/>
          <w:sz w:val="32"/>
          <w:szCs w:val="32"/>
        </w:rPr>
        <w:t>219.17</w:t>
      </w:r>
      <w:r w:rsidRPr="00201219">
        <w:rPr>
          <w:rFonts w:ascii="仿宋_GB2312" w:eastAsia="仿宋_GB2312" w:hint="eastAsia"/>
          <w:color w:val="000000"/>
          <w:sz w:val="32"/>
          <w:szCs w:val="32"/>
        </w:rPr>
        <w:t>万千瓦，下降</w:t>
      </w:r>
      <w:r w:rsidRPr="00201219">
        <w:rPr>
          <w:rFonts w:ascii="仿宋_GB2312" w:eastAsia="仿宋_GB2312"/>
          <w:color w:val="000000"/>
          <w:sz w:val="32"/>
          <w:szCs w:val="32"/>
        </w:rPr>
        <w:t>1.6</w:t>
      </w:r>
      <w:r w:rsidRPr="00201219">
        <w:rPr>
          <w:rFonts w:ascii="仿宋_GB2312" w:eastAsia="仿宋_GB2312" w:hint="eastAsia"/>
          <w:color w:val="000000"/>
          <w:sz w:val="32"/>
          <w:szCs w:val="32"/>
        </w:rPr>
        <w:t>％；农村用电量</w:t>
      </w:r>
      <w:r w:rsidRPr="00201219">
        <w:rPr>
          <w:rFonts w:ascii="仿宋_GB2312" w:eastAsia="仿宋_GB2312"/>
          <w:color w:val="000000"/>
          <w:sz w:val="32"/>
          <w:szCs w:val="32"/>
        </w:rPr>
        <w:t>84.98</w:t>
      </w:r>
      <w:r w:rsidRPr="00201219">
        <w:rPr>
          <w:rFonts w:ascii="仿宋_GB2312" w:eastAsia="仿宋_GB2312" w:hint="eastAsia"/>
          <w:color w:val="000000"/>
          <w:sz w:val="32"/>
          <w:szCs w:val="32"/>
        </w:rPr>
        <w:t>亿千瓦时，增长</w:t>
      </w:r>
      <w:r w:rsidRPr="00201219">
        <w:rPr>
          <w:rFonts w:ascii="仿宋_GB2312" w:eastAsia="仿宋_GB2312"/>
          <w:color w:val="000000"/>
          <w:sz w:val="32"/>
          <w:szCs w:val="32"/>
        </w:rPr>
        <w:t>1.4</w:t>
      </w:r>
      <w:r w:rsidRPr="00201219">
        <w:rPr>
          <w:rFonts w:ascii="仿宋_GB2312" w:eastAsia="仿宋_GB2312" w:hint="eastAsia"/>
          <w:color w:val="000000"/>
          <w:sz w:val="32"/>
          <w:szCs w:val="32"/>
        </w:rPr>
        <w:t>％。</w:t>
      </w:r>
    </w:p>
    <w:p w:rsidR="00201219" w:rsidRPr="00201219" w:rsidRDefault="00201219" w:rsidP="00201219">
      <w:pPr>
        <w:pStyle w:val="p17"/>
        <w:widowControl w:val="0"/>
        <w:spacing w:before="0" w:after="0" w:line="600" w:lineRule="exact"/>
        <w:ind w:firstLine="643"/>
        <w:jc w:val="both"/>
        <w:rPr>
          <w:rFonts w:ascii="Times New Roman" w:eastAsia="仿宋_GB2312" w:hAnsi="Times New Roman" w:hint="eastAsia"/>
          <w:color w:val="000000"/>
          <w:kern w:val="32"/>
          <w:sz w:val="32"/>
          <w:szCs w:val="32"/>
        </w:rPr>
      </w:pPr>
    </w:p>
    <w:p w:rsidR="00201219" w:rsidRPr="00201219" w:rsidRDefault="00201219" w:rsidP="00201219">
      <w:pPr>
        <w:spacing w:line="600" w:lineRule="exact"/>
        <w:jc w:val="center"/>
        <w:rPr>
          <w:rFonts w:eastAsia="黑体" w:hint="eastAsia"/>
          <w:color w:val="000000"/>
          <w:sz w:val="32"/>
          <w:szCs w:val="32"/>
        </w:rPr>
      </w:pPr>
      <w:r w:rsidRPr="00201219">
        <w:rPr>
          <w:rFonts w:eastAsia="黑体" w:hint="eastAsia"/>
          <w:color w:val="000000"/>
          <w:sz w:val="32"/>
          <w:szCs w:val="32"/>
        </w:rPr>
        <w:t>三、工业和建筑业</w:t>
      </w:r>
    </w:p>
    <w:p w:rsidR="00201219" w:rsidRPr="00201219" w:rsidRDefault="00201219" w:rsidP="00201219">
      <w:pPr>
        <w:spacing w:line="600" w:lineRule="exact"/>
        <w:jc w:val="center"/>
        <w:rPr>
          <w:rFonts w:eastAsia="黑体" w:hint="eastAsia"/>
          <w:color w:val="000000"/>
          <w:sz w:val="32"/>
          <w:szCs w:val="32"/>
        </w:rPr>
      </w:pPr>
    </w:p>
    <w:p w:rsidR="00201219" w:rsidRP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color w:val="000000"/>
          <w:sz w:val="32"/>
          <w:szCs w:val="32"/>
        </w:rPr>
        <w:t>2014</w:t>
      </w:r>
      <w:r w:rsidRPr="00201219">
        <w:rPr>
          <w:rFonts w:ascii="仿宋_GB2312" w:eastAsia="仿宋_GB2312" w:hint="eastAsia"/>
          <w:color w:val="000000"/>
          <w:sz w:val="32"/>
          <w:szCs w:val="32"/>
        </w:rPr>
        <w:t>年，全市实现工业总产值</w:t>
      </w:r>
      <w:r w:rsidRPr="00201219">
        <w:rPr>
          <w:rFonts w:ascii="仿宋_GB2312" w:eastAsia="仿宋_GB2312"/>
          <w:color w:val="000000"/>
          <w:sz w:val="32"/>
          <w:szCs w:val="32"/>
        </w:rPr>
        <w:t>7671.65</w:t>
      </w:r>
      <w:r w:rsidRPr="00201219">
        <w:rPr>
          <w:rFonts w:ascii="仿宋_GB2312" w:eastAsia="仿宋_GB2312" w:hint="eastAsia"/>
          <w:color w:val="000000"/>
          <w:sz w:val="32"/>
          <w:szCs w:val="32"/>
        </w:rPr>
        <w:t>亿元，比上年增</w:t>
      </w:r>
      <w:r w:rsidRPr="00201219">
        <w:rPr>
          <w:rFonts w:ascii="仿宋_GB2312" w:eastAsia="仿宋_GB2312" w:hint="eastAsia"/>
          <w:color w:val="000000"/>
          <w:sz w:val="32"/>
          <w:szCs w:val="32"/>
        </w:rPr>
        <w:lastRenderedPageBreak/>
        <w:t>长</w:t>
      </w:r>
      <w:r w:rsidRPr="00201219">
        <w:rPr>
          <w:rFonts w:ascii="仿宋_GB2312" w:eastAsia="仿宋_GB2312"/>
          <w:color w:val="000000"/>
          <w:sz w:val="32"/>
          <w:szCs w:val="32"/>
        </w:rPr>
        <w:t>6.2%</w:t>
      </w:r>
      <w:r w:rsidRPr="00201219">
        <w:rPr>
          <w:rFonts w:ascii="仿宋_GB2312" w:eastAsia="仿宋_GB2312" w:hint="eastAsia"/>
          <w:color w:val="000000"/>
          <w:sz w:val="32"/>
          <w:szCs w:val="32"/>
        </w:rPr>
        <w:t>。全市规模以上工业企业</w:t>
      </w:r>
      <w:r w:rsidRPr="00201219">
        <w:rPr>
          <w:rFonts w:ascii="仿宋_GB2312" w:eastAsia="仿宋_GB2312"/>
          <w:color w:val="000000"/>
          <w:sz w:val="32"/>
          <w:szCs w:val="32"/>
        </w:rPr>
        <w:t>4266</w:t>
      </w:r>
      <w:r w:rsidRPr="00201219">
        <w:rPr>
          <w:rFonts w:ascii="仿宋_GB2312" w:eastAsia="仿宋_GB2312" w:hint="eastAsia"/>
          <w:color w:val="000000"/>
          <w:sz w:val="32"/>
          <w:szCs w:val="32"/>
        </w:rPr>
        <w:t>家，实现工业总产值</w:t>
      </w:r>
      <w:r w:rsidRPr="00201219">
        <w:rPr>
          <w:rFonts w:ascii="仿宋_GB2312" w:eastAsia="仿宋_GB2312"/>
          <w:color w:val="000000"/>
          <w:sz w:val="32"/>
          <w:szCs w:val="32"/>
        </w:rPr>
        <w:t>4740.11</w:t>
      </w:r>
      <w:r w:rsidRPr="00201219">
        <w:rPr>
          <w:rFonts w:ascii="仿宋_GB2312" w:eastAsia="仿宋_GB2312" w:hint="eastAsia"/>
          <w:color w:val="000000"/>
          <w:sz w:val="32"/>
          <w:szCs w:val="32"/>
        </w:rPr>
        <w:t>亿元，比上年增长</w:t>
      </w:r>
      <w:r w:rsidRPr="00201219">
        <w:rPr>
          <w:rFonts w:ascii="仿宋_GB2312" w:eastAsia="仿宋_GB2312"/>
          <w:color w:val="000000"/>
          <w:sz w:val="32"/>
          <w:szCs w:val="32"/>
        </w:rPr>
        <w:t>5.9%</w:t>
      </w:r>
      <w:r w:rsidRPr="00201219">
        <w:rPr>
          <w:rFonts w:ascii="仿宋_GB2312" w:eastAsia="仿宋_GB2312" w:hint="eastAsia"/>
          <w:color w:val="000000"/>
          <w:sz w:val="32"/>
          <w:szCs w:val="32"/>
        </w:rPr>
        <w:t>。其中，轻工业产值</w:t>
      </w:r>
      <w:r w:rsidRPr="00201219">
        <w:rPr>
          <w:rFonts w:ascii="仿宋_GB2312" w:eastAsia="仿宋_GB2312"/>
          <w:color w:val="000000"/>
          <w:sz w:val="32"/>
          <w:szCs w:val="32"/>
        </w:rPr>
        <w:t>1658.77</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5.5%</w:t>
      </w:r>
      <w:r w:rsidRPr="00201219">
        <w:rPr>
          <w:rFonts w:ascii="仿宋_GB2312" w:eastAsia="仿宋_GB2312" w:hint="eastAsia"/>
          <w:color w:val="000000"/>
          <w:sz w:val="32"/>
          <w:szCs w:val="32"/>
        </w:rPr>
        <w:t>；重工业产值</w:t>
      </w:r>
      <w:r w:rsidRPr="00201219">
        <w:rPr>
          <w:rFonts w:ascii="仿宋_GB2312" w:eastAsia="仿宋_GB2312"/>
          <w:color w:val="000000"/>
          <w:sz w:val="32"/>
          <w:szCs w:val="32"/>
        </w:rPr>
        <w:t>3081.34</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6.1%</w:t>
      </w:r>
      <w:r w:rsidRPr="00201219">
        <w:rPr>
          <w:rFonts w:ascii="仿宋_GB2312" w:eastAsia="仿宋_GB2312" w:hint="eastAsia"/>
          <w:color w:val="000000"/>
          <w:sz w:val="32"/>
          <w:szCs w:val="32"/>
        </w:rPr>
        <w:t>。规模以上工业销售产值</w:t>
      </w:r>
      <w:r w:rsidRPr="00201219">
        <w:rPr>
          <w:rFonts w:ascii="仿宋_GB2312" w:eastAsia="仿宋_GB2312"/>
          <w:color w:val="000000"/>
          <w:sz w:val="32"/>
          <w:szCs w:val="32"/>
        </w:rPr>
        <w:t>4509.10</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4.6%</w:t>
      </w:r>
      <w:r w:rsidRPr="00201219">
        <w:rPr>
          <w:rFonts w:ascii="仿宋_GB2312" w:eastAsia="仿宋_GB2312" w:hint="eastAsia"/>
          <w:color w:val="000000"/>
          <w:sz w:val="32"/>
          <w:szCs w:val="32"/>
        </w:rPr>
        <w:t>，其中完成出口交货值</w:t>
      </w:r>
      <w:r w:rsidRPr="00201219">
        <w:rPr>
          <w:rFonts w:ascii="仿宋_GB2312" w:eastAsia="仿宋_GB2312"/>
          <w:color w:val="000000"/>
          <w:sz w:val="32"/>
          <w:szCs w:val="32"/>
        </w:rPr>
        <w:t>753.52</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6.9%</w:t>
      </w:r>
      <w:r w:rsidRPr="00201219">
        <w:rPr>
          <w:rFonts w:ascii="仿宋_GB2312" w:eastAsia="仿宋_GB2312" w:hint="eastAsia"/>
          <w:color w:val="000000"/>
          <w:sz w:val="32"/>
          <w:szCs w:val="32"/>
        </w:rPr>
        <w:t>，占销售产值比重为</w:t>
      </w:r>
      <w:r w:rsidRPr="00201219">
        <w:rPr>
          <w:rFonts w:ascii="仿宋_GB2312" w:eastAsia="仿宋_GB2312"/>
          <w:color w:val="000000"/>
          <w:sz w:val="32"/>
          <w:szCs w:val="32"/>
        </w:rPr>
        <w:t>16.7%</w:t>
      </w:r>
      <w:r w:rsidRPr="00201219">
        <w:rPr>
          <w:rFonts w:ascii="仿宋_GB2312" w:eastAsia="仿宋_GB2312" w:hint="eastAsia"/>
          <w:color w:val="000000"/>
          <w:sz w:val="32"/>
          <w:szCs w:val="32"/>
        </w:rPr>
        <w:t>。新产品产值</w:t>
      </w:r>
      <w:r w:rsidRPr="00201219">
        <w:rPr>
          <w:rFonts w:ascii="仿宋_GB2312" w:eastAsia="仿宋_GB2312"/>
          <w:color w:val="000000"/>
          <w:sz w:val="32"/>
          <w:szCs w:val="32"/>
        </w:rPr>
        <w:t>991.42</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39.9</w:t>
      </w:r>
      <w:r w:rsidRPr="00201219">
        <w:rPr>
          <w:rFonts w:ascii="仿宋_GB2312" w:eastAsia="仿宋_GB2312" w:hint="eastAsia"/>
          <w:color w:val="000000"/>
          <w:sz w:val="32"/>
          <w:szCs w:val="32"/>
        </w:rPr>
        <w:t>％；新产品产值率为</w:t>
      </w:r>
      <w:r w:rsidRPr="00201219">
        <w:rPr>
          <w:rFonts w:ascii="仿宋_GB2312" w:eastAsia="仿宋_GB2312"/>
          <w:color w:val="000000"/>
          <w:sz w:val="32"/>
          <w:szCs w:val="32"/>
        </w:rPr>
        <w:t>20.9</w:t>
      </w:r>
      <w:r w:rsidRPr="00201219">
        <w:rPr>
          <w:rFonts w:ascii="仿宋_GB2312" w:eastAsia="仿宋_GB2312" w:hint="eastAsia"/>
          <w:color w:val="000000"/>
          <w:sz w:val="32"/>
          <w:szCs w:val="32"/>
        </w:rPr>
        <w:t>％，比上年提高</w:t>
      </w:r>
      <w:r w:rsidRPr="00201219">
        <w:rPr>
          <w:rFonts w:ascii="仿宋_GB2312" w:eastAsia="仿宋_GB2312"/>
          <w:color w:val="000000"/>
          <w:sz w:val="32"/>
          <w:szCs w:val="32"/>
        </w:rPr>
        <w:t>4.6</w:t>
      </w:r>
      <w:r w:rsidRPr="00201219">
        <w:rPr>
          <w:rFonts w:ascii="仿宋_GB2312" w:eastAsia="仿宋_GB2312" w:hint="eastAsia"/>
          <w:color w:val="000000"/>
          <w:sz w:val="32"/>
          <w:szCs w:val="32"/>
        </w:rPr>
        <w:t>个百分点。</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966"/>
        <w:gridCol w:w="2105"/>
        <w:gridCol w:w="2099"/>
      </w:tblGrid>
      <w:tr w:rsidR="00201219" w:rsidTr="00201219">
        <w:trPr>
          <w:jc w:val="center"/>
        </w:trPr>
        <w:tc>
          <w:tcPr>
            <w:tcW w:w="8532" w:type="dxa"/>
            <w:gridSpan w:val="4"/>
            <w:tcBorders>
              <w:top w:val="single" w:sz="4" w:space="0" w:color="FFFFFF"/>
              <w:left w:val="single" w:sz="4" w:space="0" w:color="FFFFFF"/>
              <w:bottom w:val="single" w:sz="12" w:space="0" w:color="000000"/>
              <w:right w:val="single" w:sz="4" w:space="0" w:color="FFFFFF"/>
            </w:tcBorders>
            <w:hideMark/>
          </w:tcPr>
          <w:p w:rsidR="00201219" w:rsidRPr="00201219" w:rsidRDefault="00201219" w:rsidP="00201219">
            <w:pPr>
              <w:spacing w:line="400" w:lineRule="exact"/>
              <w:ind w:firstLineChars="98" w:firstLine="314"/>
              <w:rPr>
                <w:rFonts w:ascii="黑体" w:eastAsia="黑体" w:hAnsi="黑体" w:cs="宋体"/>
                <w:color w:val="000000"/>
                <w:kern w:val="0"/>
                <w:sz w:val="30"/>
                <w:szCs w:val="30"/>
              </w:rPr>
            </w:pPr>
            <w:r w:rsidRPr="00201219">
              <w:rPr>
                <w:rFonts w:ascii="黑体" w:eastAsia="黑体" w:hAnsi="黑体" w:cs="宋体" w:hint="eastAsia"/>
                <w:color w:val="000000"/>
                <w:kern w:val="0"/>
                <w:sz w:val="32"/>
                <w:szCs w:val="32"/>
              </w:rPr>
              <w:t>表</w:t>
            </w:r>
            <w:r w:rsidRPr="00201219">
              <w:rPr>
                <w:rFonts w:ascii="黑体" w:eastAsia="黑体" w:hAnsi="黑体" w:cs="宋体"/>
                <w:color w:val="000000"/>
                <w:kern w:val="0"/>
                <w:sz w:val="32"/>
                <w:szCs w:val="32"/>
              </w:rPr>
              <w:t>2        2014</w:t>
            </w:r>
            <w:r w:rsidRPr="00201219">
              <w:rPr>
                <w:rFonts w:ascii="黑体" w:eastAsia="黑体" w:hAnsi="黑体" w:cs="宋体" w:hint="eastAsia"/>
                <w:color w:val="000000"/>
                <w:kern w:val="0"/>
                <w:sz w:val="32"/>
                <w:szCs w:val="32"/>
              </w:rPr>
              <w:t>年规模以上工业经济情况</w:t>
            </w:r>
          </w:p>
        </w:tc>
      </w:tr>
      <w:tr w:rsidR="00201219" w:rsidTr="00201219">
        <w:trPr>
          <w:jc w:val="center"/>
        </w:trPr>
        <w:tc>
          <w:tcPr>
            <w:tcW w:w="2362" w:type="dxa"/>
            <w:vMerge w:val="restart"/>
            <w:tcBorders>
              <w:top w:val="single" w:sz="12" w:space="0" w:color="000000"/>
              <w:left w:val="single" w:sz="4" w:space="0" w:color="FFFFFF"/>
              <w:bottom w:val="single" w:sz="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指</w:t>
            </w:r>
            <w:r w:rsidRPr="00201219">
              <w:rPr>
                <w:rFonts w:asciiTheme="minorEastAsia" w:eastAsiaTheme="minorEastAsia" w:hAnsiTheme="minorEastAsia"/>
                <w:color w:val="000000"/>
                <w:kern w:val="0"/>
                <w:sz w:val="24"/>
              </w:rPr>
              <w:t xml:space="preserve">   </w:t>
            </w:r>
            <w:r w:rsidRPr="00201219">
              <w:rPr>
                <w:rFonts w:asciiTheme="minorEastAsia" w:eastAsiaTheme="minorEastAsia" w:hAnsiTheme="minorEastAsia" w:cs="宋体" w:hint="eastAsia"/>
                <w:color w:val="000000"/>
                <w:kern w:val="0"/>
                <w:sz w:val="24"/>
              </w:rPr>
              <w:t>标</w:t>
            </w:r>
          </w:p>
        </w:tc>
        <w:tc>
          <w:tcPr>
            <w:tcW w:w="1966" w:type="dxa"/>
            <w:vMerge w:val="restart"/>
            <w:tcBorders>
              <w:top w:val="single" w:sz="12" w:space="0" w:color="000000"/>
              <w:left w:val="single" w:sz="4" w:space="0" w:color="auto"/>
              <w:bottom w:val="single" w:sz="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单位数</w:t>
            </w:r>
            <w:r w:rsidRPr="00201219">
              <w:rPr>
                <w:rFonts w:asciiTheme="minorEastAsia" w:eastAsiaTheme="minorEastAsia" w:hAnsiTheme="minorEastAsia" w:cs="宋体"/>
                <w:color w:val="000000"/>
                <w:kern w:val="0"/>
                <w:sz w:val="24"/>
              </w:rPr>
              <w:t>（</w:t>
            </w:r>
            <w:r w:rsidRPr="00201219">
              <w:rPr>
                <w:rFonts w:asciiTheme="minorEastAsia" w:eastAsiaTheme="minorEastAsia" w:hAnsiTheme="minorEastAsia" w:cs="宋体" w:hint="eastAsia"/>
                <w:color w:val="000000"/>
                <w:kern w:val="0"/>
                <w:sz w:val="24"/>
              </w:rPr>
              <w:t>家</w:t>
            </w:r>
            <w:r w:rsidRPr="00201219">
              <w:rPr>
                <w:rFonts w:asciiTheme="minorEastAsia" w:eastAsiaTheme="minorEastAsia" w:hAnsiTheme="minorEastAsia" w:cs="宋体"/>
                <w:color w:val="000000"/>
                <w:kern w:val="0"/>
                <w:sz w:val="24"/>
              </w:rPr>
              <w:t>）</w:t>
            </w:r>
          </w:p>
        </w:tc>
        <w:tc>
          <w:tcPr>
            <w:tcW w:w="4204" w:type="dxa"/>
            <w:gridSpan w:val="2"/>
            <w:tcBorders>
              <w:top w:val="single" w:sz="12" w:space="0" w:color="000000"/>
              <w:left w:val="single" w:sz="4" w:space="0" w:color="auto"/>
              <w:bottom w:val="single" w:sz="2" w:space="0" w:color="000000"/>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工业总产值</w:t>
            </w:r>
          </w:p>
        </w:tc>
      </w:tr>
      <w:tr w:rsidR="00201219" w:rsidTr="00201219">
        <w:trPr>
          <w:jc w:val="center"/>
        </w:trPr>
        <w:tc>
          <w:tcPr>
            <w:tcW w:w="2362" w:type="dxa"/>
            <w:vMerge/>
            <w:tcBorders>
              <w:top w:val="single" w:sz="12" w:space="0" w:color="000000"/>
              <w:left w:val="single" w:sz="4" w:space="0" w:color="FFFFFF"/>
              <w:bottom w:val="single" w:sz="2" w:space="0" w:color="000000"/>
              <w:right w:val="single" w:sz="4" w:space="0" w:color="auto"/>
            </w:tcBorders>
            <w:vAlign w:val="center"/>
            <w:hideMark/>
          </w:tcPr>
          <w:p w:rsidR="00201219" w:rsidRPr="00201219" w:rsidRDefault="00201219" w:rsidP="00201219">
            <w:pPr>
              <w:widowControl/>
              <w:spacing w:line="400" w:lineRule="exact"/>
              <w:jc w:val="left"/>
              <w:rPr>
                <w:rFonts w:asciiTheme="minorEastAsia" w:eastAsiaTheme="minorEastAsia" w:hAnsiTheme="minorEastAsia" w:cs="宋体"/>
                <w:color w:val="000000"/>
                <w:kern w:val="0"/>
                <w:sz w:val="24"/>
              </w:rPr>
            </w:pPr>
          </w:p>
        </w:tc>
        <w:tc>
          <w:tcPr>
            <w:tcW w:w="0" w:type="auto"/>
            <w:vMerge/>
            <w:tcBorders>
              <w:top w:val="single" w:sz="12" w:space="0" w:color="000000"/>
              <w:left w:val="single" w:sz="4" w:space="0" w:color="auto"/>
              <w:bottom w:val="single" w:sz="2" w:space="0" w:color="000000"/>
              <w:right w:val="single" w:sz="4" w:space="0" w:color="auto"/>
            </w:tcBorders>
            <w:vAlign w:val="center"/>
            <w:hideMark/>
          </w:tcPr>
          <w:p w:rsidR="00201219" w:rsidRPr="00201219" w:rsidRDefault="00201219" w:rsidP="00201219">
            <w:pPr>
              <w:widowControl/>
              <w:spacing w:line="400" w:lineRule="exact"/>
              <w:jc w:val="left"/>
              <w:rPr>
                <w:rFonts w:asciiTheme="minorEastAsia" w:eastAsiaTheme="minorEastAsia" w:hAnsiTheme="minorEastAsia" w:cs="宋体"/>
                <w:color w:val="000000"/>
                <w:kern w:val="0"/>
                <w:sz w:val="24"/>
              </w:rPr>
            </w:pPr>
          </w:p>
        </w:tc>
        <w:tc>
          <w:tcPr>
            <w:tcW w:w="2105" w:type="dxa"/>
            <w:tcBorders>
              <w:top w:val="single" w:sz="2" w:space="0" w:color="000000"/>
              <w:left w:val="single" w:sz="4" w:space="0" w:color="auto"/>
              <w:bottom w:val="single" w:sz="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实绩（亿元）</w:t>
            </w:r>
          </w:p>
        </w:tc>
        <w:tc>
          <w:tcPr>
            <w:tcW w:w="2099" w:type="dxa"/>
            <w:tcBorders>
              <w:top w:val="single" w:sz="2" w:space="0" w:color="000000"/>
              <w:left w:val="single" w:sz="4" w:space="0" w:color="auto"/>
              <w:bottom w:val="single" w:sz="2" w:space="0" w:color="000000"/>
              <w:right w:val="single" w:sz="4" w:space="0" w:color="FFFFFF"/>
            </w:tcBorders>
            <w:vAlign w:val="center"/>
            <w:hideMark/>
          </w:tcPr>
          <w:p w:rsidR="00201219" w:rsidRPr="00201219" w:rsidRDefault="00201219" w:rsidP="00201219">
            <w:pPr>
              <w:spacing w:line="400" w:lineRule="exact"/>
              <w:ind w:firstLineChars="150" w:firstLine="360"/>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比重（</w:t>
            </w:r>
            <w:r w:rsidRPr="00201219">
              <w:rPr>
                <w:rFonts w:asciiTheme="minorEastAsia" w:eastAsiaTheme="minorEastAsia" w:hAnsiTheme="minorEastAsia" w:cs="宋体"/>
                <w:color w:val="000000"/>
                <w:kern w:val="0"/>
                <w:sz w:val="24"/>
              </w:rPr>
              <w:t>%</w:t>
            </w:r>
            <w:r w:rsidRPr="00201219">
              <w:rPr>
                <w:rFonts w:asciiTheme="minorEastAsia" w:eastAsiaTheme="minorEastAsia" w:hAnsiTheme="minorEastAsia" w:cs="宋体" w:hint="eastAsia"/>
                <w:color w:val="000000"/>
                <w:kern w:val="0"/>
                <w:sz w:val="24"/>
              </w:rPr>
              <w:t>）</w:t>
            </w:r>
          </w:p>
        </w:tc>
      </w:tr>
      <w:tr w:rsidR="00201219" w:rsidTr="00201219">
        <w:trPr>
          <w:jc w:val="center"/>
        </w:trPr>
        <w:tc>
          <w:tcPr>
            <w:tcW w:w="2362" w:type="dxa"/>
            <w:tcBorders>
              <w:top w:val="single" w:sz="2" w:space="0" w:color="000000"/>
              <w:left w:val="single" w:sz="4" w:space="0" w:color="FFFFFF"/>
              <w:bottom w:val="single" w:sz="4" w:space="0" w:color="FFFFFF"/>
              <w:right w:val="single" w:sz="4" w:space="0" w:color="auto"/>
            </w:tcBorders>
            <w:hideMark/>
          </w:tcPr>
          <w:p w:rsidR="00201219" w:rsidRPr="00201219" w:rsidRDefault="00201219" w:rsidP="00201219">
            <w:pPr>
              <w:spacing w:line="400" w:lineRule="exact"/>
              <w:ind w:firstLineChars="50" w:firstLine="120"/>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总计</w:t>
            </w:r>
          </w:p>
        </w:tc>
        <w:tc>
          <w:tcPr>
            <w:tcW w:w="1966" w:type="dxa"/>
            <w:tcBorders>
              <w:top w:val="single" w:sz="2" w:space="0" w:color="000000"/>
              <w:left w:val="single" w:sz="4" w:space="0" w:color="auto"/>
              <w:bottom w:val="single" w:sz="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4266</w:t>
            </w:r>
          </w:p>
        </w:tc>
        <w:tc>
          <w:tcPr>
            <w:tcW w:w="2105" w:type="dxa"/>
            <w:tcBorders>
              <w:top w:val="single" w:sz="2" w:space="0" w:color="000000"/>
              <w:left w:val="single" w:sz="4" w:space="0" w:color="auto"/>
              <w:bottom w:val="single" w:sz="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4740.11</w:t>
            </w:r>
          </w:p>
        </w:tc>
        <w:tc>
          <w:tcPr>
            <w:tcW w:w="2099" w:type="dxa"/>
            <w:tcBorders>
              <w:top w:val="single" w:sz="2" w:space="0" w:color="000000"/>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100</w:t>
            </w:r>
          </w:p>
        </w:tc>
      </w:tr>
      <w:tr w:rsidR="00201219" w:rsidTr="00201219">
        <w:trPr>
          <w:jc w:val="center"/>
        </w:trPr>
        <w:tc>
          <w:tcPr>
            <w:tcW w:w="2362" w:type="dxa"/>
            <w:tcBorders>
              <w:top w:val="single" w:sz="4" w:space="0" w:color="FFFFFF"/>
              <w:left w:val="single" w:sz="4" w:space="0" w:color="FFFFFF"/>
              <w:bottom w:val="single" w:sz="4" w:space="0" w:color="FFFFFF"/>
              <w:right w:val="single" w:sz="2" w:space="0" w:color="000000"/>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国有企业</w:t>
            </w:r>
          </w:p>
        </w:tc>
        <w:tc>
          <w:tcPr>
            <w:tcW w:w="1966" w:type="dxa"/>
            <w:tcBorders>
              <w:top w:val="single" w:sz="4" w:space="0" w:color="FFFFFF"/>
              <w:left w:val="single" w:sz="2" w:space="0" w:color="000000"/>
              <w:bottom w:val="single" w:sz="4" w:space="0" w:color="FFFFFF"/>
              <w:right w:val="single" w:sz="2" w:space="0" w:color="000000"/>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13</w:t>
            </w:r>
          </w:p>
        </w:tc>
        <w:tc>
          <w:tcPr>
            <w:tcW w:w="2105" w:type="dxa"/>
            <w:tcBorders>
              <w:top w:val="single" w:sz="4" w:space="0" w:color="FFFFFF"/>
              <w:left w:val="single" w:sz="2" w:space="0" w:color="000000"/>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238.35</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5.0</w:t>
            </w:r>
          </w:p>
        </w:tc>
      </w:tr>
      <w:tr w:rsidR="00201219" w:rsidTr="00201219">
        <w:trPr>
          <w:jc w:val="center"/>
        </w:trPr>
        <w:tc>
          <w:tcPr>
            <w:tcW w:w="2362" w:type="dxa"/>
            <w:tcBorders>
              <w:top w:val="single" w:sz="4" w:space="0" w:color="FFFFFF"/>
              <w:left w:val="single" w:sz="4" w:space="0" w:color="FFFFFF"/>
              <w:bottom w:val="single" w:sz="4" w:space="0" w:color="FFFFFF"/>
              <w:right w:val="single" w:sz="2" w:space="0" w:color="000000"/>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集体企业</w:t>
            </w:r>
          </w:p>
        </w:tc>
        <w:tc>
          <w:tcPr>
            <w:tcW w:w="1966" w:type="dxa"/>
            <w:tcBorders>
              <w:top w:val="single" w:sz="4" w:space="0" w:color="FFFFFF"/>
              <w:left w:val="single" w:sz="2" w:space="0" w:color="000000"/>
              <w:bottom w:val="single" w:sz="4" w:space="0" w:color="FFFFFF"/>
              <w:right w:val="single" w:sz="2" w:space="0" w:color="000000"/>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10</w:t>
            </w:r>
          </w:p>
        </w:tc>
        <w:tc>
          <w:tcPr>
            <w:tcW w:w="2105" w:type="dxa"/>
            <w:tcBorders>
              <w:top w:val="single" w:sz="4" w:space="0" w:color="FFFFFF"/>
              <w:left w:val="single" w:sz="2" w:space="0" w:color="000000"/>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15.78</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0.3</w:t>
            </w:r>
          </w:p>
        </w:tc>
      </w:tr>
      <w:tr w:rsidR="00201219" w:rsidTr="00201219">
        <w:trPr>
          <w:jc w:val="center"/>
        </w:trPr>
        <w:tc>
          <w:tcPr>
            <w:tcW w:w="2362" w:type="dxa"/>
            <w:tcBorders>
              <w:top w:val="single" w:sz="4" w:space="0" w:color="FFFFFF"/>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股份合作制企业</w:t>
            </w:r>
          </w:p>
        </w:tc>
        <w:tc>
          <w:tcPr>
            <w:tcW w:w="1966" w:type="dxa"/>
            <w:tcBorders>
              <w:top w:val="single" w:sz="4" w:space="0" w:color="FFFFFF"/>
              <w:left w:val="single" w:sz="4" w:space="0" w:color="auto"/>
              <w:bottom w:val="single" w:sz="4" w:space="0" w:color="FFFFFF"/>
              <w:right w:val="single" w:sz="2" w:space="0" w:color="000000"/>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141</w:t>
            </w:r>
          </w:p>
        </w:tc>
        <w:tc>
          <w:tcPr>
            <w:tcW w:w="2105" w:type="dxa"/>
            <w:tcBorders>
              <w:top w:val="single" w:sz="4" w:space="0" w:color="FFFFFF"/>
              <w:left w:val="single" w:sz="2" w:space="0" w:color="000000"/>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74.89</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1.6</w:t>
            </w:r>
          </w:p>
        </w:tc>
      </w:tr>
      <w:tr w:rsidR="00201219" w:rsidTr="00201219">
        <w:trPr>
          <w:jc w:val="center"/>
        </w:trPr>
        <w:tc>
          <w:tcPr>
            <w:tcW w:w="2362" w:type="dxa"/>
            <w:tcBorders>
              <w:top w:val="single" w:sz="4" w:space="0" w:color="FFFFFF"/>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有限责任公司</w:t>
            </w:r>
          </w:p>
        </w:tc>
        <w:tc>
          <w:tcPr>
            <w:tcW w:w="1966"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1029</w:t>
            </w:r>
          </w:p>
        </w:tc>
        <w:tc>
          <w:tcPr>
            <w:tcW w:w="2105"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1263.67</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26.7</w:t>
            </w:r>
          </w:p>
        </w:tc>
      </w:tr>
      <w:tr w:rsidR="00201219" w:rsidTr="00201219">
        <w:trPr>
          <w:jc w:val="center"/>
        </w:trPr>
        <w:tc>
          <w:tcPr>
            <w:tcW w:w="2362" w:type="dxa"/>
            <w:tcBorders>
              <w:top w:val="single" w:sz="4" w:space="0" w:color="FFFFFF"/>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股份有限公司</w:t>
            </w:r>
          </w:p>
        </w:tc>
        <w:tc>
          <w:tcPr>
            <w:tcW w:w="1966"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77</w:t>
            </w:r>
          </w:p>
        </w:tc>
        <w:tc>
          <w:tcPr>
            <w:tcW w:w="2105"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428.90</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9.0</w:t>
            </w:r>
          </w:p>
        </w:tc>
      </w:tr>
      <w:tr w:rsidR="00201219" w:rsidTr="00201219">
        <w:trPr>
          <w:jc w:val="center"/>
        </w:trPr>
        <w:tc>
          <w:tcPr>
            <w:tcW w:w="2362" w:type="dxa"/>
            <w:tcBorders>
              <w:top w:val="single" w:sz="4" w:space="0" w:color="FFFFFF"/>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jc w:val="left"/>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私营企业</w:t>
            </w:r>
          </w:p>
        </w:tc>
        <w:tc>
          <w:tcPr>
            <w:tcW w:w="1966"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2747</w:t>
            </w:r>
          </w:p>
        </w:tc>
        <w:tc>
          <w:tcPr>
            <w:tcW w:w="2105"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2304.92</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48.6</w:t>
            </w:r>
          </w:p>
        </w:tc>
      </w:tr>
      <w:tr w:rsidR="00201219" w:rsidTr="00201219">
        <w:trPr>
          <w:jc w:val="center"/>
        </w:trPr>
        <w:tc>
          <w:tcPr>
            <w:tcW w:w="2362" w:type="dxa"/>
            <w:tcBorders>
              <w:top w:val="single" w:sz="4" w:space="0" w:color="FFFFFF"/>
              <w:left w:val="single" w:sz="4" w:space="0" w:color="FFFFFF"/>
              <w:bottom w:val="single" w:sz="4" w:space="0" w:color="FFFFFF"/>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olor w:val="000000"/>
                <w:sz w:val="24"/>
              </w:rPr>
            </w:pPr>
            <w:r w:rsidRPr="00201219">
              <w:rPr>
                <w:rFonts w:asciiTheme="minorEastAsia" w:eastAsiaTheme="minorEastAsia" w:hAnsiTheme="minorEastAsia" w:cs="宋体"/>
                <w:color w:val="000000"/>
                <w:kern w:val="0"/>
                <w:sz w:val="24"/>
              </w:rPr>
              <w:t>"</w:t>
            </w:r>
            <w:r w:rsidRPr="00201219">
              <w:rPr>
                <w:rFonts w:asciiTheme="minorEastAsia" w:eastAsiaTheme="minorEastAsia" w:hAnsiTheme="minorEastAsia" w:cs="宋体" w:hint="eastAsia"/>
                <w:color w:val="000000"/>
                <w:kern w:val="0"/>
                <w:sz w:val="24"/>
              </w:rPr>
              <w:t>三资</w:t>
            </w:r>
            <w:r w:rsidRPr="00201219">
              <w:rPr>
                <w:rFonts w:asciiTheme="minorEastAsia" w:eastAsiaTheme="minorEastAsia" w:hAnsiTheme="minorEastAsia" w:cs="宋体"/>
                <w:color w:val="000000"/>
                <w:kern w:val="0"/>
                <w:sz w:val="24"/>
              </w:rPr>
              <w:t>"</w:t>
            </w:r>
            <w:r w:rsidRPr="00201219">
              <w:rPr>
                <w:rFonts w:asciiTheme="minorEastAsia" w:eastAsiaTheme="minorEastAsia" w:hAnsiTheme="minorEastAsia" w:cs="宋体" w:hint="eastAsia"/>
                <w:color w:val="000000"/>
                <w:kern w:val="0"/>
                <w:sz w:val="24"/>
              </w:rPr>
              <w:t>企业</w:t>
            </w:r>
          </w:p>
        </w:tc>
        <w:tc>
          <w:tcPr>
            <w:tcW w:w="1966"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248</w:t>
            </w:r>
          </w:p>
        </w:tc>
        <w:tc>
          <w:tcPr>
            <w:tcW w:w="2105" w:type="dxa"/>
            <w:tcBorders>
              <w:top w:val="single" w:sz="4" w:space="0" w:color="FFFFFF"/>
              <w:left w:val="single" w:sz="4" w:space="0" w:color="auto"/>
              <w:bottom w:val="single" w:sz="4" w:space="0" w:color="FFFFFF"/>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410.84</w:t>
            </w:r>
          </w:p>
        </w:tc>
        <w:tc>
          <w:tcPr>
            <w:tcW w:w="2099" w:type="dxa"/>
            <w:tcBorders>
              <w:top w:val="single" w:sz="4" w:space="0" w:color="FFFFFF"/>
              <w:left w:val="single" w:sz="4" w:space="0" w:color="auto"/>
              <w:bottom w:val="single" w:sz="4" w:space="0" w:color="FFFFFF"/>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8.7</w:t>
            </w:r>
          </w:p>
        </w:tc>
      </w:tr>
      <w:tr w:rsidR="00201219" w:rsidTr="00201219">
        <w:trPr>
          <w:jc w:val="center"/>
        </w:trPr>
        <w:tc>
          <w:tcPr>
            <w:tcW w:w="2362" w:type="dxa"/>
            <w:tcBorders>
              <w:top w:val="single" w:sz="4" w:space="0" w:color="FFFFFF"/>
              <w:left w:val="single" w:sz="4" w:space="0" w:color="FFFFFF"/>
              <w:bottom w:val="single" w:sz="12" w:space="0" w:color="000000"/>
              <w:right w:val="single" w:sz="4" w:space="0" w:color="auto"/>
            </w:tcBorders>
            <w:hideMark/>
          </w:tcPr>
          <w:p w:rsidR="00201219" w:rsidRPr="00201219" w:rsidRDefault="00201219" w:rsidP="00201219">
            <w:pPr>
              <w:spacing w:line="400" w:lineRule="exact"/>
              <w:ind w:leftChars="150" w:left="315"/>
              <w:rPr>
                <w:rFonts w:asciiTheme="minorEastAsia" w:eastAsiaTheme="minorEastAsia" w:hAnsiTheme="minorEastAsia" w:cs="宋体"/>
                <w:color w:val="000000"/>
                <w:kern w:val="0"/>
                <w:sz w:val="24"/>
              </w:rPr>
            </w:pPr>
            <w:r w:rsidRPr="00201219">
              <w:rPr>
                <w:rFonts w:asciiTheme="minorEastAsia" w:eastAsiaTheme="minorEastAsia" w:hAnsiTheme="minorEastAsia" w:cs="宋体" w:hint="eastAsia"/>
                <w:color w:val="000000"/>
                <w:kern w:val="0"/>
                <w:sz w:val="24"/>
              </w:rPr>
              <w:t>其他企业</w:t>
            </w:r>
          </w:p>
        </w:tc>
        <w:tc>
          <w:tcPr>
            <w:tcW w:w="1966" w:type="dxa"/>
            <w:tcBorders>
              <w:top w:val="single" w:sz="4" w:space="0" w:color="FFFFFF"/>
              <w:left w:val="single" w:sz="4" w:space="0" w:color="auto"/>
              <w:bottom w:val="single" w:sz="1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1</w:t>
            </w:r>
          </w:p>
        </w:tc>
        <w:tc>
          <w:tcPr>
            <w:tcW w:w="2105" w:type="dxa"/>
            <w:tcBorders>
              <w:top w:val="single" w:sz="4" w:space="0" w:color="FFFFFF"/>
              <w:left w:val="single" w:sz="4" w:space="0" w:color="auto"/>
              <w:bottom w:val="single" w:sz="12" w:space="0" w:color="000000"/>
              <w:right w:val="single" w:sz="4" w:space="0" w:color="auto"/>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2.76</w:t>
            </w:r>
          </w:p>
        </w:tc>
        <w:tc>
          <w:tcPr>
            <w:tcW w:w="2099" w:type="dxa"/>
            <w:tcBorders>
              <w:top w:val="single" w:sz="4" w:space="0" w:color="FFFFFF"/>
              <w:left w:val="single" w:sz="4" w:space="0" w:color="auto"/>
              <w:bottom w:val="single" w:sz="12" w:space="0" w:color="000000"/>
              <w:right w:val="single" w:sz="4" w:space="0" w:color="FFFFFF"/>
            </w:tcBorders>
            <w:vAlign w:val="center"/>
            <w:hideMark/>
          </w:tcPr>
          <w:p w:rsidR="00201219" w:rsidRPr="00201219" w:rsidRDefault="00201219" w:rsidP="00201219">
            <w:pPr>
              <w:spacing w:line="400" w:lineRule="exact"/>
              <w:jc w:val="center"/>
              <w:rPr>
                <w:rFonts w:asciiTheme="minorEastAsia" w:eastAsiaTheme="minorEastAsia" w:hAnsiTheme="minorEastAsia"/>
                <w:color w:val="000000"/>
                <w:sz w:val="24"/>
              </w:rPr>
            </w:pPr>
            <w:r w:rsidRPr="00201219">
              <w:rPr>
                <w:rFonts w:asciiTheme="minorEastAsia" w:eastAsiaTheme="minorEastAsia" w:hAnsiTheme="minorEastAsia"/>
                <w:color w:val="000000"/>
                <w:sz w:val="24"/>
              </w:rPr>
              <w:t>0.1</w:t>
            </w:r>
          </w:p>
        </w:tc>
      </w:tr>
    </w:tbl>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全市实现工业增加值</w:t>
      </w:r>
      <w:r w:rsidRPr="00201219">
        <w:rPr>
          <w:rFonts w:ascii="仿宋_GB2312" w:eastAsia="仿宋_GB2312"/>
          <w:color w:val="000000"/>
          <w:sz w:val="32"/>
          <w:szCs w:val="32"/>
        </w:rPr>
        <w:t>1748.81</w:t>
      </w:r>
      <w:r w:rsidRPr="00201219">
        <w:rPr>
          <w:rFonts w:ascii="仿宋_GB2312" w:eastAsia="仿宋_GB2312" w:hint="eastAsia"/>
          <w:color w:val="000000"/>
          <w:sz w:val="32"/>
          <w:szCs w:val="32"/>
        </w:rPr>
        <w:t>亿元，按可比价计算，增长</w:t>
      </w:r>
      <w:r w:rsidRPr="00201219">
        <w:rPr>
          <w:rFonts w:ascii="仿宋_GB2312" w:eastAsia="仿宋_GB2312"/>
          <w:color w:val="000000"/>
          <w:sz w:val="32"/>
          <w:szCs w:val="32"/>
        </w:rPr>
        <w:t>8.0%</w:t>
      </w:r>
      <w:r w:rsidRPr="00201219">
        <w:rPr>
          <w:rFonts w:ascii="仿宋_GB2312" w:eastAsia="仿宋_GB2312" w:hint="eastAsia"/>
          <w:color w:val="000000"/>
          <w:sz w:val="32"/>
          <w:szCs w:val="32"/>
        </w:rPr>
        <w:t>，其中规模以上工业增加值976.60亿元，增长6.2%。战略性新兴产业实现增加值</w:t>
      </w:r>
      <w:r w:rsidRPr="00201219">
        <w:rPr>
          <w:rFonts w:ascii="仿宋_GB2312" w:eastAsia="仿宋_GB2312"/>
          <w:color w:val="000000"/>
          <w:sz w:val="32"/>
          <w:szCs w:val="32"/>
        </w:rPr>
        <w:t>208.56</w:t>
      </w:r>
      <w:r w:rsidRPr="00201219">
        <w:rPr>
          <w:rFonts w:ascii="仿宋_GB2312" w:eastAsia="仿宋_GB2312" w:hint="eastAsia"/>
          <w:color w:val="000000"/>
          <w:sz w:val="32"/>
          <w:szCs w:val="32"/>
        </w:rPr>
        <w:t>亿元，高新技术产业实现增加值</w:t>
      </w:r>
      <w:r w:rsidRPr="00201219">
        <w:rPr>
          <w:rFonts w:ascii="仿宋_GB2312" w:eastAsia="仿宋_GB2312"/>
          <w:color w:val="000000"/>
          <w:sz w:val="32"/>
          <w:szCs w:val="32"/>
        </w:rPr>
        <w:t>331.71</w:t>
      </w:r>
      <w:r w:rsidRPr="00201219">
        <w:rPr>
          <w:rFonts w:ascii="仿宋_GB2312" w:eastAsia="仿宋_GB2312" w:hint="eastAsia"/>
          <w:color w:val="000000"/>
          <w:sz w:val="32"/>
          <w:szCs w:val="32"/>
        </w:rPr>
        <w:t>亿元，装备制造业实现增加值</w:t>
      </w:r>
      <w:r w:rsidRPr="00201219">
        <w:rPr>
          <w:rFonts w:ascii="仿宋_GB2312" w:eastAsia="仿宋_GB2312"/>
          <w:color w:val="000000"/>
          <w:sz w:val="32"/>
          <w:szCs w:val="32"/>
        </w:rPr>
        <w:t>416.15</w:t>
      </w:r>
      <w:r w:rsidRPr="00201219">
        <w:rPr>
          <w:rFonts w:ascii="仿宋_GB2312" w:eastAsia="仿宋_GB2312" w:hint="eastAsia"/>
          <w:color w:val="000000"/>
          <w:sz w:val="32"/>
          <w:szCs w:val="32"/>
        </w:rPr>
        <w:t>亿元，分别增长8.3％、8.2％和8.0％。</w:t>
      </w:r>
    </w:p>
    <w:p w:rsidR="00201219" w:rsidRP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hint="eastAsia"/>
          <w:color w:val="000000"/>
          <w:sz w:val="32"/>
          <w:szCs w:val="32"/>
        </w:rPr>
        <w:t>规模以上工业中，有</w:t>
      </w:r>
      <w:r w:rsidRPr="00201219">
        <w:rPr>
          <w:rFonts w:ascii="仿宋_GB2312" w:eastAsia="仿宋_GB2312"/>
          <w:color w:val="000000"/>
          <w:sz w:val="32"/>
          <w:szCs w:val="32"/>
        </w:rPr>
        <w:t>14</w:t>
      </w:r>
      <w:r w:rsidRPr="00201219">
        <w:rPr>
          <w:rFonts w:ascii="仿宋_GB2312" w:eastAsia="仿宋_GB2312" w:hint="eastAsia"/>
          <w:color w:val="000000"/>
          <w:sz w:val="32"/>
          <w:szCs w:val="32"/>
        </w:rPr>
        <w:t>个大类行业产值超百亿元，实现工业总产值</w:t>
      </w:r>
      <w:r w:rsidRPr="00201219">
        <w:rPr>
          <w:rFonts w:ascii="仿宋_GB2312" w:eastAsia="仿宋_GB2312"/>
          <w:color w:val="000000"/>
          <w:sz w:val="32"/>
          <w:szCs w:val="32"/>
        </w:rPr>
        <w:t>4064.52</w:t>
      </w:r>
      <w:r w:rsidRPr="00201219">
        <w:rPr>
          <w:rFonts w:ascii="仿宋_GB2312" w:eastAsia="仿宋_GB2312" w:hint="eastAsia"/>
          <w:color w:val="000000"/>
          <w:sz w:val="32"/>
          <w:szCs w:val="32"/>
        </w:rPr>
        <w:t>亿元，</w:t>
      </w:r>
      <w:proofErr w:type="gramStart"/>
      <w:r w:rsidRPr="00201219">
        <w:rPr>
          <w:rFonts w:ascii="仿宋_GB2312" w:eastAsia="仿宋_GB2312" w:hint="eastAsia"/>
          <w:color w:val="000000"/>
          <w:sz w:val="32"/>
          <w:szCs w:val="32"/>
        </w:rPr>
        <w:t>占规模</w:t>
      </w:r>
      <w:proofErr w:type="gramEnd"/>
      <w:r w:rsidRPr="00201219">
        <w:rPr>
          <w:rFonts w:ascii="仿宋_GB2312" w:eastAsia="仿宋_GB2312" w:hint="eastAsia"/>
          <w:color w:val="000000"/>
          <w:sz w:val="32"/>
          <w:szCs w:val="32"/>
        </w:rPr>
        <w:t>以上工业总产值比重</w:t>
      </w:r>
      <w:r w:rsidRPr="00201219">
        <w:rPr>
          <w:rFonts w:ascii="仿宋_GB2312" w:eastAsia="仿宋_GB2312"/>
          <w:color w:val="000000"/>
          <w:sz w:val="32"/>
          <w:szCs w:val="32"/>
        </w:rPr>
        <w:lastRenderedPageBreak/>
        <w:t>85.7</w:t>
      </w:r>
      <w:r w:rsidRPr="00201219">
        <w:rPr>
          <w:rFonts w:ascii="仿宋_GB2312" w:eastAsia="仿宋_GB2312" w:hint="eastAsia"/>
          <w:color w:val="000000"/>
          <w:sz w:val="32"/>
          <w:szCs w:val="32"/>
        </w:rPr>
        <w:t>％，其中电气机械及器材制造业、皮革毛皮羽毛（绒）及其制品业、电力热力的生产和供应业、通用设备制造业、纺织服装服饰业、橡胶塑料制品业、化学原料和化学制品制造业等</w:t>
      </w:r>
      <w:r w:rsidRPr="00201219">
        <w:rPr>
          <w:rFonts w:ascii="仿宋_GB2312" w:eastAsia="仿宋_GB2312"/>
          <w:color w:val="000000"/>
          <w:sz w:val="32"/>
          <w:szCs w:val="32"/>
        </w:rPr>
        <w:t>7</w:t>
      </w:r>
      <w:r w:rsidRPr="00201219">
        <w:rPr>
          <w:rFonts w:ascii="仿宋_GB2312" w:eastAsia="仿宋_GB2312" w:hint="eastAsia"/>
          <w:color w:val="000000"/>
          <w:sz w:val="32"/>
          <w:szCs w:val="32"/>
        </w:rPr>
        <w:t>个大类行业年产值超过</w:t>
      </w:r>
      <w:r w:rsidRPr="00201219">
        <w:rPr>
          <w:rFonts w:ascii="仿宋_GB2312" w:eastAsia="仿宋_GB2312"/>
          <w:color w:val="000000"/>
          <w:sz w:val="32"/>
          <w:szCs w:val="32"/>
        </w:rPr>
        <w:t>200</w:t>
      </w:r>
      <w:r w:rsidRPr="00201219">
        <w:rPr>
          <w:rFonts w:ascii="仿宋_GB2312" w:eastAsia="仿宋_GB2312" w:hint="eastAsia"/>
          <w:color w:val="000000"/>
          <w:sz w:val="32"/>
          <w:szCs w:val="32"/>
        </w:rPr>
        <w:t>亿元。</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全年规模以上工业企业实现主营业务收入</w:t>
      </w:r>
      <w:r w:rsidRPr="00201219">
        <w:rPr>
          <w:rFonts w:ascii="仿宋_GB2312" w:eastAsia="仿宋_GB2312"/>
          <w:color w:val="000000"/>
          <w:sz w:val="32"/>
          <w:szCs w:val="32"/>
        </w:rPr>
        <w:t>4238.15</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3.7</w:t>
      </w:r>
      <w:r w:rsidRPr="00201219">
        <w:rPr>
          <w:rFonts w:ascii="仿宋_GB2312" w:eastAsia="仿宋_GB2312" w:hint="eastAsia"/>
          <w:color w:val="000000"/>
          <w:sz w:val="32"/>
          <w:szCs w:val="32"/>
        </w:rPr>
        <w:t>％；利税总额</w:t>
      </w:r>
      <w:r w:rsidRPr="00201219">
        <w:rPr>
          <w:rFonts w:ascii="仿宋_GB2312" w:eastAsia="仿宋_GB2312"/>
          <w:color w:val="000000"/>
          <w:sz w:val="32"/>
          <w:szCs w:val="32"/>
        </w:rPr>
        <w:t>405.09</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9.6</w:t>
      </w:r>
      <w:r w:rsidRPr="00201219">
        <w:rPr>
          <w:rFonts w:ascii="仿宋_GB2312" w:eastAsia="仿宋_GB2312" w:hint="eastAsia"/>
          <w:color w:val="000000"/>
          <w:sz w:val="32"/>
          <w:szCs w:val="32"/>
        </w:rPr>
        <w:t>％，其中利润总额</w:t>
      </w:r>
      <w:r w:rsidRPr="00201219">
        <w:rPr>
          <w:rFonts w:ascii="仿宋_GB2312" w:eastAsia="仿宋_GB2312"/>
          <w:color w:val="000000"/>
          <w:sz w:val="32"/>
          <w:szCs w:val="32"/>
        </w:rPr>
        <w:t>248.36</w:t>
      </w:r>
      <w:r w:rsidRPr="00201219">
        <w:rPr>
          <w:rFonts w:ascii="仿宋_GB2312" w:eastAsia="仿宋_GB2312" w:hint="eastAsia"/>
          <w:color w:val="000000"/>
          <w:sz w:val="32"/>
          <w:szCs w:val="32"/>
        </w:rPr>
        <w:t>亿元，增长</w:t>
      </w:r>
      <w:r w:rsidRPr="00201219">
        <w:rPr>
          <w:rFonts w:ascii="仿宋_GB2312" w:eastAsia="仿宋_GB2312"/>
          <w:color w:val="000000"/>
          <w:sz w:val="32"/>
          <w:szCs w:val="32"/>
        </w:rPr>
        <w:t>13.2</w:t>
      </w:r>
      <w:r w:rsidRPr="00201219">
        <w:rPr>
          <w:rFonts w:ascii="仿宋_GB2312" w:eastAsia="仿宋_GB2312" w:hint="eastAsia"/>
          <w:color w:val="000000"/>
          <w:sz w:val="32"/>
          <w:szCs w:val="32"/>
        </w:rPr>
        <w:t>％。年末企业应收账款</w:t>
      </w:r>
      <w:r w:rsidRPr="00201219">
        <w:rPr>
          <w:rFonts w:ascii="仿宋_GB2312" w:eastAsia="仿宋_GB2312"/>
          <w:color w:val="000000"/>
          <w:sz w:val="32"/>
          <w:szCs w:val="32"/>
        </w:rPr>
        <w:t>969.67</w:t>
      </w:r>
      <w:r w:rsidRPr="00201219">
        <w:rPr>
          <w:rFonts w:ascii="仿宋_GB2312" w:eastAsia="仿宋_GB2312" w:hint="eastAsia"/>
          <w:color w:val="000000"/>
          <w:sz w:val="32"/>
          <w:szCs w:val="32"/>
        </w:rPr>
        <w:t>亿元，上升</w:t>
      </w:r>
      <w:r w:rsidRPr="00201219">
        <w:rPr>
          <w:rFonts w:ascii="仿宋_GB2312" w:eastAsia="仿宋_GB2312"/>
          <w:color w:val="000000"/>
          <w:sz w:val="32"/>
          <w:szCs w:val="32"/>
        </w:rPr>
        <w:t>5.7</w:t>
      </w:r>
      <w:r w:rsidRPr="00201219">
        <w:rPr>
          <w:rFonts w:ascii="仿宋_GB2312" w:eastAsia="仿宋_GB2312" w:hint="eastAsia"/>
          <w:color w:val="000000"/>
          <w:sz w:val="32"/>
          <w:szCs w:val="32"/>
        </w:rPr>
        <w:t>％；产成品存货</w:t>
      </w:r>
      <w:r w:rsidRPr="00201219">
        <w:rPr>
          <w:rFonts w:ascii="仿宋_GB2312" w:eastAsia="仿宋_GB2312"/>
          <w:color w:val="000000"/>
          <w:sz w:val="32"/>
          <w:szCs w:val="32"/>
        </w:rPr>
        <w:t>233.54</w:t>
      </w:r>
      <w:r w:rsidRPr="00201219">
        <w:rPr>
          <w:rFonts w:ascii="仿宋_GB2312" w:eastAsia="仿宋_GB2312" w:hint="eastAsia"/>
          <w:color w:val="000000"/>
          <w:sz w:val="32"/>
          <w:szCs w:val="32"/>
        </w:rPr>
        <w:t>亿元，上升</w:t>
      </w:r>
      <w:r w:rsidRPr="00201219">
        <w:rPr>
          <w:rFonts w:ascii="仿宋_GB2312" w:eastAsia="仿宋_GB2312"/>
          <w:color w:val="000000"/>
          <w:sz w:val="32"/>
          <w:szCs w:val="32"/>
        </w:rPr>
        <w:t>10.6</w:t>
      </w:r>
      <w:r w:rsidRPr="00201219">
        <w:rPr>
          <w:rFonts w:ascii="仿宋_GB2312" w:eastAsia="仿宋_GB2312" w:hint="eastAsia"/>
          <w:color w:val="000000"/>
          <w:sz w:val="32"/>
          <w:szCs w:val="32"/>
        </w:rPr>
        <w:t>％。</w:t>
      </w:r>
    </w:p>
    <w:p w:rsid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hint="eastAsia"/>
          <w:color w:val="000000"/>
          <w:sz w:val="32"/>
          <w:szCs w:val="32"/>
        </w:rPr>
        <w:t>全年建筑业实现增加值298.13亿元，比上年增长10.7％。全市拥有总承包和专业承包资质的建筑企业652家，实现建筑业总产值1255.21亿元，增长9.2％；实现利润总额24.59亿元，同比增长1.1%。年末拥有资产711.19亿元，其中固定资产原价108.55亿元。</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p>
    <w:p w:rsidR="00201219" w:rsidRPr="00201219" w:rsidRDefault="00201219" w:rsidP="00201219">
      <w:pPr>
        <w:spacing w:line="600" w:lineRule="exact"/>
        <w:jc w:val="center"/>
        <w:outlineLvl w:val="0"/>
        <w:rPr>
          <w:rFonts w:eastAsia="黑体" w:hint="eastAsia"/>
          <w:color w:val="000000"/>
          <w:sz w:val="32"/>
        </w:rPr>
      </w:pPr>
      <w:r w:rsidRPr="00201219">
        <w:rPr>
          <w:rFonts w:eastAsia="黑体" w:hint="eastAsia"/>
          <w:color w:val="000000"/>
          <w:sz w:val="32"/>
        </w:rPr>
        <w:t>四、固定资产投资和房地产业</w:t>
      </w:r>
    </w:p>
    <w:p w:rsidR="00201219" w:rsidRPr="00201219" w:rsidRDefault="00201219" w:rsidP="00201219">
      <w:pPr>
        <w:spacing w:line="600" w:lineRule="exact"/>
        <w:jc w:val="center"/>
        <w:outlineLvl w:val="0"/>
        <w:rPr>
          <w:rFonts w:eastAsia="黑体" w:hint="eastAsia"/>
          <w:color w:val="000000"/>
          <w:sz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全年固定资产投资3052.81亿元，增长16.6％。其中民间投资1911.86亿元，增长25.4%，占全部投资比重为62.6%。</w:t>
      </w:r>
    </w:p>
    <w:p w:rsidR="00201219" w:rsidRPr="009D60C7" w:rsidRDefault="00201219" w:rsidP="00201219">
      <w:pPr>
        <w:widowControl/>
        <w:jc w:val="center"/>
        <w:rPr>
          <w:rFonts w:eastAsia="仿宋_GB2312" w:cs="宋体" w:hint="eastAsia"/>
          <w:color w:val="000000"/>
          <w:kern w:val="0"/>
          <w:sz w:val="30"/>
          <w:szCs w:val="30"/>
        </w:rPr>
      </w:pPr>
      <w:r w:rsidRPr="006E46D2">
        <w:rPr>
          <w:noProof/>
        </w:rPr>
        <w:lastRenderedPageBreak/>
        <w:drawing>
          <wp:inline distT="0" distB="0" distL="0" distR="0">
            <wp:extent cx="5276850" cy="3248025"/>
            <wp:effectExtent l="0" t="0" r="0" b="9525"/>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完成工业投资750.88亿元，比上年增长24.0%。其中工业技改投资完成541.84亿元，增长56.1%，战略性新兴产业投资完成210.87亿元，增长45.2%，装备制造业投资366.93亿元，增长36.6%。电气、仪器仪表、通用设备、专用设备、汽车制造业投资增速分别为70.3%、57.2%、50.5%、51.9%、49.1%。</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w:t>
      </w:r>
      <w:r w:rsidRPr="00201219">
        <w:rPr>
          <w:rFonts w:ascii="仿宋_GB2312" w:eastAsia="仿宋_GB2312"/>
          <w:color w:val="000000"/>
          <w:sz w:val="32"/>
          <w:szCs w:val="32"/>
        </w:rPr>
        <w:t>房地产开发完成投资额</w:t>
      </w:r>
      <w:r w:rsidRPr="00201219">
        <w:rPr>
          <w:rFonts w:ascii="仿宋_GB2312" w:eastAsia="仿宋_GB2312" w:hint="eastAsia"/>
          <w:color w:val="000000"/>
          <w:sz w:val="32"/>
          <w:szCs w:val="32"/>
        </w:rPr>
        <w:t>808.88</w:t>
      </w:r>
      <w:r w:rsidRPr="00201219">
        <w:rPr>
          <w:rFonts w:ascii="仿宋_GB2312" w:eastAsia="仿宋_GB2312"/>
          <w:color w:val="000000"/>
          <w:sz w:val="32"/>
          <w:szCs w:val="32"/>
        </w:rPr>
        <w:t>亿元，比上年增长</w:t>
      </w:r>
      <w:r w:rsidRPr="00201219">
        <w:rPr>
          <w:rFonts w:ascii="仿宋_GB2312" w:eastAsia="仿宋_GB2312" w:hint="eastAsia"/>
          <w:color w:val="000000"/>
          <w:sz w:val="32"/>
          <w:szCs w:val="32"/>
        </w:rPr>
        <w:t>10.1</w:t>
      </w:r>
      <w:r w:rsidRPr="00201219">
        <w:rPr>
          <w:rFonts w:ascii="仿宋_GB2312" w:eastAsia="仿宋_GB2312"/>
          <w:color w:val="000000"/>
          <w:sz w:val="32"/>
          <w:szCs w:val="32"/>
        </w:rPr>
        <w:t>%</w:t>
      </w:r>
      <w:r w:rsidRPr="00201219">
        <w:rPr>
          <w:rFonts w:ascii="仿宋_GB2312" w:eastAsia="仿宋_GB2312" w:hint="eastAsia"/>
          <w:color w:val="000000"/>
          <w:sz w:val="32"/>
          <w:szCs w:val="32"/>
        </w:rPr>
        <w:t>。房地产开发投资占限额以上固定资产投资比重为26.5%，比上年回落1.5个百分点。</w:t>
      </w:r>
      <w:r w:rsidRPr="00201219">
        <w:rPr>
          <w:rFonts w:ascii="仿宋_GB2312" w:eastAsia="仿宋_GB2312"/>
          <w:color w:val="000000"/>
          <w:sz w:val="32"/>
          <w:szCs w:val="32"/>
        </w:rPr>
        <w:t>全市房屋施工面积</w:t>
      </w:r>
      <w:r w:rsidRPr="00201219">
        <w:rPr>
          <w:rFonts w:ascii="仿宋_GB2312" w:eastAsia="仿宋_GB2312" w:hint="eastAsia"/>
          <w:color w:val="000000"/>
          <w:sz w:val="32"/>
          <w:szCs w:val="32"/>
        </w:rPr>
        <w:t>4672.84</w:t>
      </w:r>
      <w:r w:rsidRPr="00201219">
        <w:rPr>
          <w:rFonts w:ascii="仿宋_GB2312" w:eastAsia="仿宋_GB2312"/>
          <w:color w:val="000000"/>
          <w:sz w:val="32"/>
          <w:szCs w:val="32"/>
        </w:rPr>
        <w:t>万平方米，增长</w:t>
      </w:r>
      <w:r w:rsidRPr="00201219">
        <w:rPr>
          <w:rFonts w:ascii="仿宋_GB2312" w:eastAsia="仿宋_GB2312" w:hint="eastAsia"/>
          <w:color w:val="000000"/>
          <w:sz w:val="32"/>
          <w:szCs w:val="32"/>
        </w:rPr>
        <w:t>10.2</w:t>
      </w:r>
      <w:r w:rsidRPr="00201219">
        <w:rPr>
          <w:rFonts w:ascii="仿宋_GB2312" w:eastAsia="仿宋_GB2312"/>
          <w:color w:val="000000"/>
          <w:sz w:val="32"/>
          <w:szCs w:val="32"/>
        </w:rPr>
        <w:t>%；竣工面积</w:t>
      </w:r>
      <w:r w:rsidRPr="00201219">
        <w:rPr>
          <w:rFonts w:ascii="仿宋_GB2312" w:eastAsia="仿宋_GB2312" w:hint="eastAsia"/>
          <w:color w:val="000000"/>
          <w:sz w:val="32"/>
          <w:szCs w:val="32"/>
        </w:rPr>
        <w:t>539.99</w:t>
      </w:r>
      <w:r w:rsidRPr="00201219">
        <w:rPr>
          <w:rFonts w:ascii="仿宋_GB2312" w:eastAsia="仿宋_GB2312"/>
          <w:color w:val="000000"/>
          <w:sz w:val="32"/>
          <w:szCs w:val="32"/>
        </w:rPr>
        <w:t>万平方米，</w:t>
      </w:r>
      <w:r w:rsidRPr="00201219">
        <w:rPr>
          <w:rFonts w:ascii="仿宋_GB2312" w:eastAsia="仿宋_GB2312" w:hint="eastAsia"/>
          <w:color w:val="000000"/>
          <w:sz w:val="32"/>
          <w:szCs w:val="32"/>
        </w:rPr>
        <w:t>增长47.1</w:t>
      </w:r>
      <w:r w:rsidRPr="00201219">
        <w:rPr>
          <w:rFonts w:ascii="仿宋_GB2312" w:eastAsia="仿宋_GB2312"/>
          <w:color w:val="000000"/>
          <w:sz w:val="32"/>
          <w:szCs w:val="32"/>
        </w:rPr>
        <w:t>%。</w:t>
      </w:r>
      <w:r w:rsidRPr="00201219">
        <w:rPr>
          <w:rFonts w:ascii="仿宋_GB2312" w:eastAsia="仿宋_GB2312" w:hint="eastAsia"/>
          <w:color w:val="000000"/>
          <w:sz w:val="32"/>
          <w:szCs w:val="32"/>
        </w:rPr>
        <w:t>全年全市商品房销售面积420.17万平方米，比上年增长20.1％，其中住宅销售面积383.47万平方米，增长20.8％。</w:t>
      </w:r>
    </w:p>
    <w:p w:rsidR="00201219" w:rsidRPr="00201219" w:rsidRDefault="00201219" w:rsidP="00201219">
      <w:pPr>
        <w:spacing w:line="600" w:lineRule="exact"/>
        <w:jc w:val="center"/>
        <w:rPr>
          <w:rFonts w:eastAsia="黑体" w:cs="宋体" w:hint="eastAsia"/>
          <w:color w:val="000000"/>
          <w:kern w:val="0"/>
          <w:sz w:val="32"/>
          <w:szCs w:val="32"/>
        </w:rPr>
      </w:pPr>
    </w:p>
    <w:p w:rsidR="00201219" w:rsidRPr="00201219" w:rsidRDefault="00201219" w:rsidP="00201219">
      <w:pPr>
        <w:spacing w:line="600" w:lineRule="exact"/>
        <w:jc w:val="center"/>
        <w:rPr>
          <w:rFonts w:eastAsia="黑体" w:cs="宋体" w:hint="eastAsia"/>
          <w:color w:val="000000"/>
          <w:kern w:val="0"/>
          <w:sz w:val="32"/>
          <w:szCs w:val="32"/>
        </w:rPr>
      </w:pPr>
      <w:r w:rsidRPr="00201219">
        <w:rPr>
          <w:rFonts w:eastAsia="黑体" w:cs="宋体" w:hint="eastAsia"/>
          <w:color w:val="000000"/>
          <w:kern w:val="0"/>
          <w:sz w:val="32"/>
          <w:szCs w:val="32"/>
        </w:rPr>
        <w:lastRenderedPageBreak/>
        <w:t>五、国内贸易和旅游</w:t>
      </w:r>
    </w:p>
    <w:p w:rsidR="00201219" w:rsidRPr="00201219" w:rsidRDefault="00201219" w:rsidP="00201219">
      <w:pPr>
        <w:spacing w:line="600" w:lineRule="exact"/>
        <w:ind w:firstLineChars="200" w:firstLine="600"/>
        <w:outlineLvl w:val="0"/>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bookmarkStart w:id="1" w:name="OLE_LINK15"/>
      <w:r w:rsidRPr="00201219">
        <w:rPr>
          <w:rFonts w:ascii="仿宋_GB2312" w:eastAsia="仿宋_GB2312" w:hint="eastAsia"/>
          <w:color w:val="000000"/>
          <w:sz w:val="32"/>
          <w:szCs w:val="32"/>
        </w:rPr>
        <w:t>全年社会消费品零售总额2410.36亿元，比上年增长12.8％。其中，城镇消费品零售额2182.76亿元，增长13.1％；乡村消费品零售额227.61亿元，增长10.3％。按行业分，批发零售贸易业零售额2121.85亿元，增长12.9％；住宿餐饮业零售额288.51亿元，增长12.5％。</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在限额以上批发零售业零售额中，</w:t>
      </w:r>
      <w:r w:rsidRPr="00201219">
        <w:rPr>
          <w:rFonts w:ascii="仿宋_GB2312" w:eastAsia="仿宋_GB2312"/>
          <w:color w:val="000000"/>
          <w:sz w:val="32"/>
          <w:szCs w:val="32"/>
        </w:rPr>
        <w:t>汽车类零售额</w:t>
      </w:r>
      <w:r w:rsidRPr="00201219">
        <w:rPr>
          <w:rFonts w:ascii="仿宋_GB2312" w:eastAsia="仿宋_GB2312" w:hint="eastAsia"/>
          <w:color w:val="000000"/>
          <w:sz w:val="32"/>
          <w:szCs w:val="32"/>
        </w:rPr>
        <w:t>382.57亿元，</w:t>
      </w:r>
      <w:r w:rsidRPr="00201219">
        <w:rPr>
          <w:rFonts w:ascii="仿宋_GB2312" w:eastAsia="仿宋_GB2312"/>
          <w:color w:val="000000"/>
          <w:sz w:val="32"/>
          <w:szCs w:val="32"/>
        </w:rPr>
        <w:t>比上年</w:t>
      </w:r>
      <w:r w:rsidRPr="00201219">
        <w:rPr>
          <w:rFonts w:ascii="仿宋_GB2312" w:eastAsia="仿宋_GB2312" w:hint="eastAsia"/>
          <w:color w:val="000000"/>
          <w:sz w:val="32"/>
          <w:szCs w:val="32"/>
        </w:rPr>
        <w:t>增长11.1％；石油及制品类零售额168.73亿元，增长6.8％；食品饮料烟酒类增长11.9％，日用品类增长4.5％，金银珠宝类增长80.5％，鞋服、针纺织品类增长12.3％，化妆品类增长10.8％，中西药品类增长20.6％，家具类增长57.3％。</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bookmarkStart w:id="2" w:name="OLE_LINK4"/>
      <w:r w:rsidRPr="00201219">
        <w:rPr>
          <w:rFonts w:ascii="仿宋_GB2312" w:eastAsia="仿宋_GB2312" w:hint="eastAsia"/>
          <w:color w:val="000000"/>
          <w:sz w:val="32"/>
          <w:szCs w:val="32"/>
        </w:rPr>
        <w:t>年末全市有各类市场489个，其中消费品市场366个，生产资料市场87个，生产要素市场7个，网上市场27个，服务市场2个。全年各类市场成交额1209.53亿元，其中超亿元市场78个，年成交额846.91亿元；超十亿元市场21个，年成交额647.26亿元。</w:t>
      </w:r>
    </w:p>
    <w:bookmarkEnd w:id="1"/>
    <w:bookmarkEnd w:id="2"/>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接待海内外游客6578.48万人次，实现旅游总收入681亿元，分别比上年增长14.4和16.9%。其中接待国内旅游人数6487.4万人次，增长14.3%，国内旅游收入651.43亿元，增长17.1%；接待入境游客91.08万人次，增长19.1%，国际旅游外汇收入4.81亿美元，增长15.6%。</w:t>
      </w:r>
    </w:p>
    <w:p w:rsidR="00201219" w:rsidRPr="00201219" w:rsidRDefault="00201219" w:rsidP="00201219">
      <w:pPr>
        <w:spacing w:line="600" w:lineRule="exact"/>
        <w:ind w:firstLineChars="200" w:firstLine="600"/>
        <w:outlineLvl w:val="0"/>
        <w:rPr>
          <w:rFonts w:eastAsia="仿宋_GB2312" w:cs="宋体" w:hint="eastAsia"/>
          <w:color w:val="000000"/>
          <w:kern w:val="0"/>
          <w:sz w:val="30"/>
          <w:szCs w:val="30"/>
        </w:rPr>
      </w:pPr>
    </w:p>
    <w:p w:rsidR="00201219" w:rsidRPr="00201219" w:rsidRDefault="00201219" w:rsidP="00201219">
      <w:pPr>
        <w:spacing w:line="600" w:lineRule="exact"/>
        <w:jc w:val="center"/>
        <w:rPr>
          <w:rFonts w:eastAsia="黑体" w:cs="宋体" w:hint="eastAsia"/>
          <w:color w:val="000000"/>
          <w:kern w:val="0"/>
          <w:sz w:val="32"/>
          <w:szCs w:val="32"/>
        </w:rPr>
      </w:pPr>
      <w:r w:rsidRPr="00201219">
        <w:rPr>
          <w:rFonts w:eastAsia="黑体" w:cs="宋体" w:hint="eastAsia"/>
          <w:color w:val="000000"/>
          <w:kern w:val="0"/>
          <w:sz w:val="32"/>
          <w:szCs w:val="32"/>
        </w:rPr>
        <w:t>六、对外经济</w:t>
      </w:r>
    </w:p>
    <w:p w:rsidR="00201219" w:rsidRPr="00201219" w:rsidRDefault="00201219" w:rsidP="00201219">
      <w:pPr>
        <w:spacing w:line="600" w:lineRule="exact"/>
        <w:jc w:val="center"/>
        <w:rPr>
          <w:rFonts w:eastAsia="黑体" w:hint="eastAsia"/>
          <w:color w:val="000000"/>
          <w:sz w:val="32"/>
          <w:szCs w:val="32"/>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全年实现进出口总额</w:t>
      </w:r>
      <w:r w:rsidRPr="00201219">
        <w:rPr>
          <w:rFonts w:ascii="仿宋_GB2312" w:eastAsia="仿宋_GB2312"/>
          <w:color w:val="000000"/>
          <w:sz w:val="32"/>
          <w:szCs w:val="32"/>
        </w:rPr>
        <w:t>20</w:t>
      </w:r>
      <w:r w:rsidRPr="00201219">
        <w:rPr>
          <w:rFonts w:ascii="仿宋_GB2312" w:eastAsia="仿宋_GB2312" w:hint="eastAsia"/>
          <w:color w:val="000000"/>
          <w:sz w:val="32"/>
          <w:szCs w:val="32"/>
        </w:rPr>
        <w:t>7.8</w:t>
      </w:r>
      <w:r w:rsidRPr="00201219">
        <w:rPr>
          <w:rFonts w:ascii="仿宋_GB2312" w:eastAsia="仿宋_GB2312"/>
          <w:color w:val="000000"/>
          <w:sz w:val="32"/>
          <w:szCs w:val="32"/>
        </w:rPr>
        <w:t>2</w:t>
      </w:r>
      <w:r w:rsidRPr="00201219">
        <w:rPr>
          <w:rFonts w:ascii="仿宋_GB2312" w:eastAsia="仿宋_GB2312" w:hint="eastAsia"/>
          <w:color w:val="000000"/>
          <w:sz w:val="32"/>
          <w:szCs w:val="32"/>
        </w:rPr>
        <w:t>亿美元，比上年增长</w:t>
      </w:r>
      <w:r w:rsidRPr="00201219">
        <w:rPr>
          <w:rFonts w:ascii="仿宋_GB2312" w:eastAsia="仿宋_GB2312"/>
          <w:color w:val="000000"/>
          <w:sz w:val="32"/>
          <w:szCs w:val="32"/>
        </w:rPr>
        <w:t>0.</w:t>
      </w:r>
      <w:r w:rsidRPr="00201219">
        <w:rPr>
          <w:rFonts w:ascii="仿宋_GB2312" w:eastAsia="仿宋_GB2312" w:hint="eastAsia"/>
          <w:color w:val="000000"/>
          <w:sz w:val="32"/>
          <w:szCs w:val="32"/>
        </w:rPr>
        <w:t>9</w:t>
      </w:r>
      <w:r w:rsidRPr="00201219">
        <w:rPr>
          <w:rFonts w:ascii="仿宋_GB2312" w:eastAsia="仿宋_GB2312"/>
          <w:color w:val="000000"/>
          <w:sz w:val="32"/>
          <w:szCs w:val="32"/>
        </w:rPr>
        <w:t>%</w:t>
      </w:r>
      <w:r w:rsidRPr="00201219">
        <w:rPr>
          <w:rFonts w:ascii="仿宋_GB2312" w:eastAsia="仿宋_GB2312" w:hint="eastAsia"/>
          <w:color w:val="000000"/>
          <w:sz w:val="32"/>
          <w:szCs w:val="32"/>
        </w:rPr>
        <w:t>，增速比上年提高0</w:t>
      </w:r>
      <w:r w:rsidRPr="00201219">
        <w:rPr>
          <w:rFonts w:ascii="仿宋_GB2312" w:eastAsia="仿宋_GB2312"/>
          <w:color w:val="000000"/>
          <w:sz w:val="32"/>
          <w:szCs w:val="32"/>
        </w:rPr>
        <w:t>.1</w:t>
      </w:r>
      <w:r w:rsidRPr="00201219">
        <w:rPr>
          <w:rFonts w:ascii="仿宋_GB2312" w:eastAsia="仿宋_GB2312" w:hint="eastAsia"/>
          <w:color w:val="000000"/>
          <w:sz w:val="32"/>
          <w:szCs w:val="32"/>
        </w:rPr>
        <w:t>个百分点。其中进口22.31亿美元，下降9.3</w:t>
      </w:r>
      <w:r w:rsidRPr="00201219">
        <w:rPr>
          <w:rFonts w:ascii="仿宋_GB2312" w:eastAsia="仿宋_GB2312"/>
          <w:color w:val="000000"/>
          <w:sz w:val="32"/>
          <w:szCs w:val="32"/>
        </w:rPr>
        <w:t>%</w:t>
      </w:r>
      <w:r w:rsidRPr="00201219">
        <w:rPr>
          <w:rFonts w:ascii="仿宋_GB2312" w:eastAsia="仿宋_GB2312" w:hint="eastAsia"/>
          <w:color w:val="000000"/>
          <w:sz w:val="32"/>
          <w:szCs w:val="32"/>
        </w:rPr>
        <w:t>；出口</w:t>
      </w:r>
      <w:r w:rsidRPr="00201219">
        <w:rPr>
          <w:rFonts w:ascii="仿宋_GB2312" w:eastAsia="仿宋_GB2312"/>
          <w:color w:val="000000"/>
          <w:sz w:val="32"/>
          <w:szCs w:val="32"/>
        </w:rPr>
        <w:t>18</w:t>
      </w:r>
      <w:r w:rsidRPr="00201219">
        <w:rPr>
          <w:rFonts w:ascii="仿宋_GB2312" w:eastAsia="仿宋_GB2312" w:hint="eastAsia"/>
          <w:color w:val="000000"/>
          <w:sz w:val="32"/>
          <w:szCs w:val="32"/>
        </w:rPr>
        <w:t>5</w:t>
      </w:r>
      <w:r w:rsidRPr="00201219">
        <w:rPr>
          <w:rFonts w:ascii="仿宋_GB2312" w:eastAsia="仿宋_GB2312"/>
          <w:color w:val="000000"/>
          <w:sz w:val="32"/>
          <w:szCs w:val="32"/>
        </w:rPr>
        <w:t>.</w:t>
      </w:r>
      <w:r w:rsidRPr="00201219">
        <w:rPr>
          <w:rFonts w:ascii="仿宋_GB2312" w:eastAsia="仿宋_GB2312" w:hint="eastAsia"/>
          <w:color w:val="000000"/>
          <w:sz w:val="32"/>
          <w:szCs w:val="32"/>
        </w:rPr>
        <w:t>51亿美元，增长</w:t>
      </w:r>
      <w:r w:rsidRPr="00201219">
        <w:rPr>
          <w:rFonts w:ascii="仿宋_GB2312" w:eastAsia="仿宋_GB2312"/>
          <w:color w:val="000000"/>
          <w:sz w:val="32"/>
          <w:szCs w:val="32"/>
        </w:rPr>
        <w:t>2.</w:t>
      </w:r>
      <w:r w:rsidRPr="00201219">
        <w:rPr>
          <w:rFonts w:ascii="仿宋_GB2312" w:eastAsia="仿宋_GB2312" w:hint="eastAsia"/>
          <w:color w:val="000000"/>
          <w:sz w:val="32"/>
          <w:szCs w:val="32"/>
        </w:rPr>
        <w:t>2</w:t>
      </w:r>
      <w:r w:rsidRPr="00201219">
        <w:rPr>
          <w:rFonts w:ascii="仿宋_GB2312" w:eastAsia="仿宋_GB2312"/>
          <w:color w:val="000000"/>
          <w:sz w:val="32"/>
          <w:szCs w:val="32"/>
        </w:rPr>
        <w:t>%</w:t>
      </w:r>
      <w:r w:rsidRPr="00201219">
        <w:rPr>
          <w:rFonts w:ascii="仿宋_GB2312" w:eastAsia="仿宋_GB2312" w:hint="eastAsia"/>
          <w:color w:val="000000"/>
          <w:sz w:val="32"/>
          <w:szCs w:val="32"/>
        </w:rPr>
        <w:t>。外贸依存度为29.7％，其中出口依存度为26.5％，分别比上年降低2个和1.4个百分点。至年末，与我市建立出口和进口贸易关系的国家和地区共计213个，有进出口业务的企业6127家。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713"/>
        <w:gridCol w:w="2160"/>
      </w:tblGrid>
      <w:tr w:rsidR="00201219" w:rsidRPr="00DA3617" w:rsidTr="00201219">
        <w:trPr>
          <w:jc w:val="center"/>
        </w:trPr>
        <w:tc>
          <w:tcPr>
            <w:tcW w:w="7549" w:type="dxa"/>
            <w:gridSpan w:val="3"/>
            <w:tcBorders>
              <w:top w:val="single" w:sz="4" w:space="0" w:color="FFFFFF"/>
              <w:left w:val="single" w:sz="4" w:space="0" w:color="FFFFFF"/>
              <w:bottom w:val="single" w:sz="12" w:space="0" w:color="000000"/>
              <w:right w:val="single" w:sz="4" w:space="0" w:color="FFFFFF"/>
            </w:tcBorders>
            <w:shd w:val="clear" w:color="auto" w:fill="auto"/>
          </w:tcPr>
          <w:p w:rsidR="00201219" w:rsidRPr="00201219" w:rsidRDefault="00201219" w:rsidP="00201219">
            <w:pPr>
              <w:spacing w:line="400" w:lineRule="exact"/>
              <w:rPr>
                <w:rFonts w:ascii="黑体" w:eastAsia="黑体" w:hAnsi="黑体" w:cs="宋体" w:hint="eastAsia"/>
                <w:color w:val="000000"/>
                <w:kern w:val="0"/>
                <w:sz w:val="28"/>
                <w:szCs w:val="28"/>
              </w:rPr>
            </w:pPr>
            <w:r w:rsidRPr="00201219">
              <w:rPr>
                <w:rFonts w:ascii="黑体" w:eastAsia="黑体" w:hAnsi="黑体" w:hint="eastAsia"/>
                <w:bCs/>
                <w:color w:val="000000"/>
                <w:sz w:val="28"/>
                <w:szCs w:val="28"/>
              </w:rPr>
              <w:t xml:space="preserve">表3        </w:t>
            </w:r>
            <w:r>
              <w:rPr>
                <w:rFonts w:ascii="黑体" w:eastAsia="黑体" w:hAnsi="黑体"/>
                <w:bCs/>
                <w:color w:val="000000"/>
                <w:sz w:val="28"/>
                <w:szCs w:val="28"/>
              </w:rPr>
              <w:t xml:space="preserve">   </w:t>
            </w:r>
            <w:r w:rsidRPr="00201219">
              <w:rPr>
                <w:rFonts w:ascii="黑体" w:eastAsia="黑体" w:hAnsi="黑体" w:hint="eastAsia"/>
                <w:bCs/>
                <w:color w:val="000000"/>
                <w:sz w:val="28"/>
                <w:szCs w:val="28"/>
              </w:rPr>
              <w:t>2014年外贸</w:t>
            </w:r>
            <w:r w:rsidRPr="00201219">
              <w:rPr>
                <w:rFonts w:ascii="黑体" w:eastAsia="黑体" w:hAnsi="黑体"/>
                <w:bCs/>
                <w:color w:val="000000"/>
                <w:sz w:val="28"/>
                <w:szCs w:val="28"/>
              </w:rPr>
              <w:t>出口分类情况</w:t>
            </w:r>
          </w:p>
        </w:tc>
      </w:tr>
      <w:tr w:rsidR="00201219" w:rsidRPr="00DA3617" w:rsidTr="00201219">
        <w:trPr>
          <w:jc w:val="center"/>
        </w:trPr>
        <w:tc>
          <w:tcPr>
            <w:tcW w:w="2676" w:type="dxa"/>
            <w:tcBorders>
              <w:top w:val="single" w:sz="12" w:space="0" w:color="000000"/>
              <w:left w:val="single" w:sz="4" w:space="0" w:color="FFFFFF"/>
              <w:bottom w:val="single" w:sz="2" w:space="0" w:color="000000"/>
              <w:right w:val="single" w:sz="2" w:space="0" w:color="000000"/>
            </w:tcBorders>
            <w:shd w:val="clear" w:color="auto" w:fill="auto"/>
            <w:vAlign w:val="center"/>
          </w:tcPr>
          <w:p w:rsidR="00201219" w:rsidRPr="00201219" w:rsidRDefault="00201219" w:rsidP="00201219">
            <w:pPr>
              <w:spacing w:line="400" w:lineRule="exact"/>
              <w:ind w:left="57" w:right="57"/>
              <w:jc w:val="center"/>
              <w:rPr>
                <w:rFonts w:asciiTheme="minorEastAsia" w:eastAsiaTheme="minorEastAsia" w:hAnsiTheme="minorEastAsia" w:cs="宋体"/>
                <w:iCs/>
                <w:color w:val="000000"/>
                <w:sz w:val="24"/>
              </w:rPr>
            </w:pPr>
            <w:r w:rsidRPr="00201219">
              <w:rPr>
                <w:rFonts w:asciiTheme="minorEastAsia" w:eastAsiaTheme="minorEastAsia" w:hAnsiTheme="minorEastAsia"/>
                <w:iCs/>
                <w:color w:val="000000"/>
                <w:sz w:val="24"/>
              </w:rPr>
              <w:t> </w:t>
            </w:r>
            <w:r w:rsidRPr="00201219">
              <w:rPr>
                <w:rFonts w:asciiTheme="minorEastAsia" w:eastAsiaTheme="minorEastAsia" w:hAnsiTheme="minorEastAsia" w:cs="宋体" w:hint="eastAsia"/>
                <w:iCs/>
                <w:color w:val="000000"/>
                <w:sz w:val="24"/>
              </w:rPr>
              <w:t>指</w:t>
            </w:r>
            <w:r w:rsidRPr="00201219">
              <w:rPr>
                <w:rFonts w:asciiTheme="minorEastAsia" w:eastAsiaTheme="minorEastAsia" w:hAnsiTheme="minorEastAsia"/>
                <w:iCs/>
                <w:color w:val="000000"/>
                <w:sz w:val="24"/>
              </w:rPr>
              <w:t xml:space="preserve">     </w:t>
            </w:r>
            <w:r w:rsidRPr="00201219">
              <w:rPr>
                <w:rFonts w:asciiTheme="minorEastAsia" w:eastAsiaTheme="minorEastAsia" w:hAnsiTheme="minorEastAsia" w:cs="宋体" w:hint="eastAsia"/>
                <w:iCs/>
                <w:color w:val="000000"/>
                <w:sz w:val="24"/>
              </w:rPr>
              <w:t>标</w:t>
            </w:r>
          </w:p>
        </w:tc>
        <w:tc>
          <w:tcPr>
            <w:tcW w:w="2713" w:type="dxa"/>
            <w:tcBorders>
              <w:top w:val="single" w:sz="1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left="57" w:right="57"/>
              <w:jc w:val="center"/>
              <w:rPr>
                <w:rFonts w:asciiTheme="minorEastAsia" w:eastAsiaTheme="minorEastAsia" w:hAnsiTheme="minorEastAsia" w:cs="宋体"/>
                <w:iCs/>
                <w:color w:val="000000"/>
                <w:sz w:val="24"/>
              </w:rPr>
            </w:pPr>
            <w:r w:rsidRPr="00201219">
              <w:rPr>
                <w:rFonts w:asciiTheme="minorEastAsia" w:eastAsiaTheme="minorEastAsia" w:hAnsiTheme="minorEastAsia" w:cs="宋体" w:hint="eastAsia"/>
                <w:iCs/>
                <w:color w:val="000000"/>
                <w:sz w:val="24"/>
              </w:rPr>
              <w:t>出口总额（亿美元）</w:t>
            </w:r>
          </w:p>
        </w:tc>
        <w:tc>
          <w:tcPr>
            <w:tcW w:w="2160" w:type="dxa"/>
            <w:tcBorders>
              <w:top w:val="single" w:sz="1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left="57" w:right="57"/>
              <w:jc w:val="center"/>
              <w:rPr>
                <w:rFonts w:asciiTheme="minorEastAsia" w:eastAsiaTheme="minorEastAsia" w:hAnsiTheme="minorEastAsia"/>
                <w:iCs/>
                <w:color w:val="000000"/>
                <w:sz w:val="24"/>
              </w:rPr>
            </w:pPr>
            <w:r w:rsidRPr="00201219">
              <w:rPr>
                <w:rFonts w:asciiTheme="minorEastAsia" w:eastAsiaTheme="minorEastAsia" w:hAnsiTheme="minorEastAsia" w:cs="宋体" w:hint="eastAsia"/>
                <w:iCs/>
                <w:color w:val="000000"/>
                <w:sz w:val="24"/>
              </w:rPr>
              <w:t>比上年增长（</w:t>
            </w:r>
            <w:r w:rsidRPr="00201219">
              <w:rPr>
                <w:rFonts w:asciiTheme="minorEastAsia" w:eastAsiaTheme="minorEastAsia" w:hAnsiTheme="minorEastAsia"/>
                <w:iCs/>
                <w:color w:val="000000"/>
                <w:sz w:val="24"/>
              </w:rPr>
              <w:t>%</w:t>
            </w:r>
            <w:r w:rsidRPr="00201219">
              <w:rPr>
                <w:rFonts w:asciiTheme="minorEastAsia" w:eastAsiaTheme="minorEastAsia" w:hAnsiTheme="minorEastAsia" w:hint="eastAsia"/>
                <w:iCs/>
                <w:color w:val="000000"/>
                <w:sz w:val="24"/>
              </w:rPr>
              <w:t>）</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出口总额</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185.51</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2.2</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w:t>
            </w:r>
            <w:r w:rsidRPr="00201219">
              <w:rPr>
                <w:rFonts w:asciiTheme="minorEastAsia" w:eastAsiaTheme="minorEastAsia" w:hAnsiTheme="minorEastAsia" w:cs="宋体" w:hint="eastAsia"/>
                <w:color w:val="000000"/>
                <w:kern w:val="0"/>
                <w:sz w:val="24"/>
              </w:rPr>
              <w:t>#</w:t>
            </w:r>
            <w:r w:rsidRPr="00201219">
              <w:rPr>
                <w:rFonts w:asciiTheme="minorEastAsia" w:eastAsiaTheme="minorEastAsia" w:hAnsiTheme="minorEastAsia" w:hint="eastAsia"/>
                <w:color w:val="000000"/>
                <w:sz w:val="24"/>
              </w:rPr>
              <w:t>一般贸易</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176.44</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2.0</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加工贸易</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8.81</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6.4</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w:t>
            </w:r>
            <w:r w:rsidRPr="00201219">
              <w:rPr>
                <w:rFonts w:asciiTheme="minorEastAsia" w:eastAsiaTheme="minorEastAsia" w:hAnsiTheme="minorEastAsia" w:cs="宋体" w:hint="eastAsia"/>
                <w:color w:val="000000"/>
                <w:kern w:val="0"/>
                <w:sz w:val="24"/>
              </w:rPr>
              <w:t>#</w:t>
            </w:r>
            <w:r w:rsidRPr="00201219">
              <w:rPr>
                <w:rFonts w:asciiTheme="minorEastAsia" w:eastAsiaTheme="minorEastAsia" w:hAnsiTheme="minorEastAsia" w:hint="eastAsia"/>
                <w:color w:val="000000"/>
                <w:sz w:val="24"/>
              </w:rPr>
              <w:t>机电类</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75.51</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5.2</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鞋类</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48.13</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-6.6</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服装及衣着附件</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18.57</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3.0</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眼镜</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8.41</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5.4</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汽摩配</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7.41</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3.9</w:t>
            </w:r>
          </w:p>
        </w:tc>
      </w:tr>
      <w:tr w:rsidR="00201219" w:rsidRPr="00DA3617" w:rsidTr="00201219">
        <w:trPr>
          <w:jc w:val="center"/>
        </w:trPr>
        <w:tc>
          <w:tcPr>
            <w:tcW w:w="2676" w:type="dxa"/>
            <w:tcBorders>
              <w:top w:val="single" w:sz="2" w:space="0" w:color="000000"/>
              <w:left w:val="single" w:sz="4" w:space="0" w:color="FFFFFF"/>
              <w:bottom w:val="single" w:sz="2" w:space="0" w:color="000000"/>
              <w:right w:val="single" w:sz="2" w:space="0" w:color="000000"/>
            </w:tcBorders>
            <w:shd w:val="clear" w:color="auto" w:fill="auto"/>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 xml:space="preserve">     阀门</w:t>
            </w:r>
          </w:p>
        </w:tc>
        <w:tc>
          <w:tcPr>
            <w:tcW w:w="27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6.93</w:t>
            </w:r>
          </w:p>
        </w:tc>
        <w:tc>
          <w:tcPr>
            <w:tcW w:w="2160" w:type="dxa"/>
            <w:tcBorders>
              <w:top w:val="single" w:sz="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cs="宋体" w:hint="eastAsia"/>
                <w:color w:val="000000"/>
                <w:kern w:val="0"/>
                <w:sz w:val="24"/>
              </w:rPr>
            </w:pPr>
            <w:r w:rsidRPr="00201219">
              <w:rPr>
                <w:rFonts w:asciiTheme="minorEastAsia" w:eastAsiaTheme="minorEastAsia" w:hAnsiTheme="minorEastAsia" w:cs="宋体" w:hint="eastAsia"/>
                <w:color w:val="000000"/>
                <w:kern w:val="0"/>
                <w:sz w:val="24"/>
              </w:rPr>
              <w:t>-0.2</w:t>
            </w:r>
          </w:p>
        </w:tc>
      </w:tr>
      <w:tr w:rsidR="00201219" w:rsidRPr="00DA3617" w:rsidTr="00201219">
        <w:trPr>
          <w:jc w:val="center"/>
        </w:trPr>
        <w:tc>
          <w:tcPr>
            <w:tcW w:w="7549" w:type="dxa"/>
            <w:gridSpan w:val="3"/>
            <w:tcBorders>
              <w:top w:val="single" w:sz="2" w:space="0" w:color="000000"/>
              <w:left w:val="single" w:sz="4" w:space="0" w:color="FFFFFF"/>
              <w:bottom w:val="single" w:sz="12" w:space="0" w:color="000000"/>
              <w:right w:val="single" w:sz="4" w:space="0" w:color="FFFFFF"/>
            </w:tcBorders>
            <w:shd w:val="clear" w:color="auto" w:fill="auto"/>
          </w:tcPr>
          <w:p w:rsidR="00201219" w:rsidRPr="00DA3617" w:rsidRDefault="00201219" w:rsidP="00201219">
            <w:pPr>
              <w:spacing w:line="400" w:lineRule="exact"/>
              <w:jc w:val="center"/>
              <w:rPr>
                <w:rFonts w:eastAsia="仿宋_GB2312" w:hint="eastAsia"/>
                <w:b/>
                <w:bCs/>
                <w:color w:val="000000"/>
                <w:sz w:val="32"/>
              </w:rPr>
            </w:pPr>
          </w:p>
          <w:p w:rsidR="00201219" w:rsidRPr="00DA3617" w:rsidRDefault="00201219" w:rsidP="00201219">
            <w:pPr>
              <w:spacing w:line="400" w:lineRule="exact"/>
              <w:rPr>
                <w:rFonts w:eastAsia="仿宋_GB2312" w:cs="宋体" w:hint="eastAsia"/>
                <w:color w:val="000000"/>
                <w:kern w:val="0"/>
                <w:sz w:val="30"/>
                <w:szCs w:val="30"/>
              </w:rPr>
            </w:pPr>
            <w:r w:rsidRPr="00201219">
              <w:rPr>
                <w:rFonts w:ascii="黑体" w:eastAsia="黑体" w:hAnsi="黑体" w:hint="eastAsia"/>
                <w:bCs/>
                <w:color w:val="000000"/>
                <w:sz w:val="28"/>
                <w:szCs w:val="28"/>
              </w:rPr>
              <w:t xml:space="preserve">表4        </w:t>
            </w:r>
            <w:r>
              <w:rPr>
                <w:rFonts w:ascii="黑体" w:eastAsia="黑体" w:hAnsi="黑体"/>
                <w:bCs/>
                <w:color w:val="000000"/>
                <w:sz w:val="28"/>
                <w:szCs w:val="28"/>
              </w:rPr>
              <w:t xml:space="preserve">   </w:t>
            </w:r>
            <w:r w:rsidRPr="00201219">
              <w:rPr>
                <w:rFonts w:ascii="黑体" w:eastAsia="黑体" w:hAnsi="黑体" w:hint="eastAsia"/>
                <w:bCs/>
                <w:color w:val="000000"/>
                <w:sz w:val="28"/>
                <w:szCs w:val="28"/>
              </w:rPr>
              <w:t>2014年</w:t>
            </w:r>
            <w:r w:rsidRPr="00201219">
              <w:rPr>
                <w:rFonts w:ascii="黑体" w:eastAsia="黑体" w:hAnsi="黑体"/>
                <w:bCs/>
                <w:color w:val="000000"/>
                <w:sz w:val="28"/>
                <w:szCs w:val="28"/>
              </w:rPr>
              <w:t>主要</w:t>
            </w:r>
            <w:r w:rsidRPr="00201219">
              <w:rPr>
                <w:rFonts w:ascii="黑体" w:eastAsia="黑体" w:hAnsi="黑体" w:hint="eastAsia"/>
                <w:bCs/>
                <w:color w:val="000000"/>
                <w:sz w:val="28"/>
                <w:szCs w:val="28"/>
              </w:rPr>
              <w:t>市场</w:t>
            </w:r>
            <w:r w:rsidRPr="00201219">
              <w:rPr>
                <w:rFonts w:ascii="黑体" w:eastAsia="黑体" w:hAnsi="黑体"/>
                <w:bCs/>
                <w:color w:val="000000"/>
                <w:sz w:val="28"/>
                <w:szCs w:val="28"/>
              </w:rPr>
              <w:t>出口情况</w:t>
            </w:r>
          </w:p>
        </w:tc>
      </w:tr>
      <w:tr w:rsidR="00201219" w:rsidRPr="00DA3617" w:rsidTr="00201219">
        <w:trPr>
          <w:jc w:val="center"/>
        </w:trPr>
        <w:tc>
          <w:tcPr>
            <w:tcW w:w="2676" w:type="dxa"/>
            <w:tcBorders>
              <w:top w:val="single" w:sz="12" w:space="0" w:color="000000"/>
              <w:left w:val="single" w:sz="4" w:space="0" w:color="FFFFFF"/>
              <w:bottom w:val="single" w:sz="2" w:space="0" w:color="000000"/>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地   区</w:t>
            </w:r>
          </w:p>
        </w:tc>
        <w:tc>
          <w:tcPr>
            <w:tcW w:w="2713" w:type="dxa"/>
            <w:tcBorders>
              <w:top w:val="single" w:sz="12" w:space="0" w:color="000000"/>
              <w:left w:val="single" w:sz="2" w:space="0" w:color="000000"/>
              <w:bottom w:val="single" w:sz="2" w:space="0" w:color="000000"/>
              <w:right w:val="single" w:sz="2" w:space="0" w:color="000000"/>
            </w:tcBorders>
            <w:shd w:val="clear" w:color="auto" w:fill="auto"/>
            <w:vAlign w:val="center"/>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出口额（亿美元）</w:t>
            </w:r>
          </w:p>
        </w:tc>
        <w:tc>
          <w:tcPr>
            <w:tcW w:w="2160" w:type="dxa"/>
            <w:tcBorders>
              <w:top w:val="single" w:sz="12" w:space="0" w:color="000000"/>
              <w:left w:val="single" w:sz="2" w:space="0" w:color="000000"/>
              <w:bottom w:val="single" w:sz="2" w:space="0" w:color="000000"/>
              <w:right w:val="single" w:sz="4" w:space="0" w:color="FFFFFF"/>
            </w:tcBorders>
            <w:shd w:val="clear" w:color="auto" w:fill="auto"/>
            <w:vAlign w:val="center"/>
          </w:tcPr>
          <w:p w:rsidR="00201219" w:rsidRPr="00201219" w:rsidRDefault="00201219" w:rsidP="00201219">
            <w:pPr>
              <w:spacing w:line="400" w:lineRule="exac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比上年增长（%）</w:t>
            </w:r>
          </w:p>
        </w:tc>
      </w:tr>
      <w:tr w:rsidR="00201219" w:rsidRPr="00DA3617" w:rsidTr="00201219">
        <w:trPr>
          <w:jc w:val="center"/>
        </w:trPr>
        <w:tc>
          <w:tcPr>
            <w:tcW w:w="2676" w:type="dxa"/>
            <w:tcBorders>
              <w:top w:val="single" w:sz="2" w:space="0" w:color="000000"/>
              <w:left w:val="single" w:sz="4" w:space="0" w:color="FFFFFF"/>
              <w:bottom w:val="single" w:sz="4" w:space="0" w:color="FFFFFF"/>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欧洲</w:t>
            </w:r>
          </w:p>
        </w:tc>
        <w:tc>
          <w:tcPr>
            <w:tcW w:w="2713" w:type="dxa"/>
            <w:tcBorders>
              <w:top w:val="single" w:sz="2" w:space="0" w:color="000000"/>
              <w:left w:val="single" w:sz="2" w:space="0" w:color="000000"/>
              <w:bottom w:val="single" w:sz="4" w:space="0" w:color="FFFFFF"/>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72.39</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1.0</w:t>
            </w:r>
          </w:p>
        </w:tc>
      </w:tr>
      <w:tr w:rsidR="00201219" w:rsidRPr="00DA3617" w:rsidTr="00201219">
        <w:trPr>
          <w:jc w:val="center"/>
        </w:trPr>
        <w:tc>
          <w:tcPr>
            <w:tcW w:w="2676" w:type="dxa"/>
            <w:tcBorders>
              <w:top w:val="single" w:sz="2" w:space="0" w:color="000000"/>
              <w:left w:val="single" w:sz="4" w:space="0" w:color="FFFFFF"/>
              <w:bottom w:val="single" w:sz="4" w:space="0" w:color="FFFFFF"/>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亚洲</w:t>
            </w:r>
          </w:p>
        </w:tc>
        <w:tc>
          <w:tcPr>
            <w:tcW w:w="2713" w:type="dxa"/>
            <w:tcBorders>
              <w:top w:val="single" w:sz="2" w:space="0" w:color="000000"/>
              <w:left w:val="single" w:sz="2" w:space="0" w:color="000000"/>
              <w:bottom w:val="single" w:sz="4" w:space="0" w:color="FFFFFF"/>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50.70</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6.1</w:t>
            </w:r>
          </w:p>
        </w:tc>
      </w:tr>
      <w:tr w:rsidR="00201219" w:rsidRPr="00DA3617" w:rsidTr="00201219">
        <w:trPr>
          <w:jc w:val="center"/>
        </w:trPr>
        <w:tc>
          <w:tcPr>
            <w:tcW w:w="2676" w:type="dxa"/>
            <w:tcBorders>
              <w:top w:val="single" w:sz="2" w:space="0" w:color="000000"/>
              <w:left w:val="single" w:sz="4" w:space="0" w:color="FFFFFF"/>
              <w:bottom w:val="single" w:sz="4" w:space="0" w:color="FFFFFF"/>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北美洲</w:t>
            </w:r>
          </w:p>
        </w:tc>
        <w:tc>
          <w:tcPr>
            <w:tcW w:w="2713" w:type="dxa"/>
            <w:tcBorders>
              <w:top w:val="single" w:sz="2" w:space="0" w:color="000000"/>
              <w:left w:val="single" w:sz="2" w:space="0" w:color="000000"/>
              <w:bottom w:val="single" w:sz="4" w:space="0" w:color="FFFFFF"/>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26.83</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1.1</w:t>
            </w:r>
          </w:p>
        </w:tc>
      </w:tr>
      <w:tr w:rsidR="00201219" w:rsidRPr="00DA3617" w:rsidTr="00201219">
        <w:trPr>
          <w:jc w:val="center"/>
        </w:trPr>
        <w:tc>
          <w:tcPr>
            <w:tcW w:w="2676" w:type="dxa"/>
            <w:tcBorders>
              <w:top w:val="single" w:sz="2" w:space="0" w:color="000000"/>
              <w:left w:val="single" w:sz="4" w:space="0" w:color="FFFFFF"/>
              <w:bottom w:val="single" w:sz="4" w:space="0" w:color="FFFFFF"/>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拉丁美洲</w:t>
            </w:r>
          </w:p>
        </w:tc>
        <w:tc>
          <w:tcPr>
            <w:tcW w:w="2713" w:type="dxa"/>
            <w:tcBorders>
              <w:top w:val="single" w:sz="2" w:space="0" w:color="000000"/>
              <w:left w:val="single" w:sz="2" w:space="0" w:color="000000"/>
              <w:bottom w:val="single" w:sz="4" w:space="0" w:color="FFFFFF"/>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19.35</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1.0</w:t>
            </w:r>
          </w:p>
        </w:tc>
      </w:tr>
      <w:tr w:rsidR="00201219" w:rsidRPr="00DA3617" w:rsidTr="00201219">
        <w:trPr>
          <w:jc w:val="center"/>
        </w:trPr>
        <w:tc>
          <w:tcPr>
            <w:tcW w:w="2676" w:type="dxa"/>
            <w:tcBorders>
              <w:top w:val="single" w:sz="4" w:space="0" w:color="FFFFFF"/>
              <w:left w:val="single" w:sz="4" w:space="0" w:color="FFFFFF"/>
              <w:bottom w:val="single" w:sz="4" w:space="0" w:color="FFFFFF"/>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非洲</w:t>
            </w:r>
          </w:p>
        </w:tc>
        <w:tc>
          <w:tcPr>
            <w:tcW w:w="2713" w:type="dxa"/>
            <w:tcBorders>
              <w:top w:val="single" w:sz="4" w:space="0" w:color="FFFFFF"/>
              <w:left w:val="single" w:sz="2" w:space="0" w:color="000000"/>
              <w:bottom w:val="single" w:sz="4" w:space="0" w:color="FFFFFF"/>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13.04</w:t>
            </w:r>
          </w:p>
        </w:tc>
        <w:tc>
          <w:tcPr>
            <w:tcW w:w="2160" w:type="dxa"/>
            <w:tcBorders>
              <w:top w:val="single" w:sz="4" w:space="0" w:color="FFFFFF"/>
              <w:left w:val="single" w:sz="2" w:space="0" w:color="000000"/>
              <w:bottom w:val="single" w:sz="4" w:space="0" w:color="FFFFFF"/>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-0.8</w:t>
            </w:r>
          </w:p>
        </w:tc>
      </w:tr>
      <w:tr w:rsidR="00201219" w:rsidRPr="00DA3617" w:rsidTr="00201219">
        <w:trPr>
          <w:jc w:val="center"/>
        </w:trPr>
        <w:tc>
          <w:tcPr>
            <w:tcW w:w="2676" w:type="dxa"/>
            <w:tcBorders>
              <w:top w:val="single" w:sz="4" w:space="0" w:color="FFFFFF"/>
              <w:left w:val="single" w:sz="4" w:space="0" w:color="FFFFFF"/>
              <w:bottom w:val="single" w:sz="12" w:space="0" w:color="000000"/>
              <w:right w:val="single" w:sz="2" w:space="0" w:color="000000"/>
            </w:tcBorders>
            <w:shd w:val="clear" w:color="auto" w:fill="auto"/>
            <w:vAlign w:val="center"/>
          </w:tcPr>
          <w:p w:rsidR="00201219" w:rsidRPr="00201219" w:rsidRDefault="00201219" w:rsidP="00201219">
            <w:pPr>
              <w:spacing w:line="400" w:lineRule="exact"/>
              <w:jc w:val="center"/>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大洋洲</w:t>
            </w:r>
          </w:p>
        </w:tc>
        <w:tc>
          <w:tcPr>
            <w:tcW w:w="2713" w:type="dxa"/>
            <w:tcBorders>
              <w:top w:val="single" w:sz="4" w:space="0" w:color="FFFFFF"/>
              <w:left w:val="single" w:sz="2" w:space="0" w:color="000000"/>
              <w:bottom w:val="single" w:sz="12" w:space="0" w:color="000000"/>
              <w:right w:val="single" w:sz="2" w:space="0" w:color="000000"/>
            </w:tcBorders>
            <w:shd w:val="clear" w:color="auto" w:fill="auto"/>
            <w:vAlign w:val="center"/>
          </w:tcPr>
          <w:p w:rsidR="00201219" w:rsidRPr="00201219" w:rsidRDefault="00201219" w:rsidP="00201219">
            <w:pPr>
              <w:spacing w:line="400" w:lineRule="exact"/>
              <w:ind w:rightChars="400" w:right="84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3.03</w:t>
            </w:r>
          </w:p>
        </w:tc>
        <w:tc>
          <w:tcPr>
            <w:tcW w:w="2160" w:type="dxa"/>
            <w:tcBorders>
              <w:top w:val="single" w:sz="4" w:space="0" w:color="FFFFFF"/>
              <w:left w:val="single" w:sz="2" w:space="0" w:color="000000"/>
              <w:bottom w:val="single" w:sz="12" w:space="0" w:color="000000"/>
              <w:right w:val="single" w:sz="4" w:space="0" w:color="FFFFFF"/>
            </w:tcBorders>
            <w:shd w:val="clear" w:color="auto" w:fill="auto"/>
            <w:vAlign w:val="center"/>
          </w:tcPr>
          <w:p w:rsidR="00201219" w:rsidRPr="00201219" w:rsidRDefault="00201219" w:rsidP="00201219">
            <w:pPr>
              <w:spacing w:line="400" w:lineRule="exact"/>
              <w:ind w:rightChars="300" w:right="630"/>
              <w:jc w:val="right"/>
              <w:rPr>
                <w:rFonts w:asciiTheme="minorEastAsia" w:eastAsiaTheme="minorEastAsia" w:hAnsiTheme="minorEastAsia" w:hint="eastAsia"/>
                <w:color w:val="000000"/>
                <w:sz w:val="24"/>
              </w:rPr>
            </w:pPr>
            <w:r w:rsidRPr="00201219">
              <w:rPr>
                <w:rFonts w:asciiTheme="minorEastAsia" w:eastAsiaTheme="minorEastAsia" w:hAnsiTheme="minorEastAsia" w:hint="eastAsia"/>
                <w:color w:val="000000"/>
                <w:sz w:val="24"/>
              </w:rPr>
              <w:t>0.4</w:t>
            </w:r>
          </w:p>
        </w:tc>
      </w:tr>
    </w:tbl>
    <w:p w:rsidR="00201219" w:rsidRPr="009D60C7" w:rsidRDefault="00201219" w:rsidP="00201219">
      <w:pPr>
        <w:ind w:firstLineChars="200" w:firstLine="643"/>
        <w:outlineLvl w:val="0"/>
        <w:rPr>
          <w:rFonts w:eastAsia="仿宋_GB2312" w:hint="eastAsia"/>
          <w:bCs/>
          <w:color w:val="000000"/>
          <w:sz w:val="24"/>
        </w:rPr>
      </w:pPr>
      <w:r w:rsidRPr="009D60C7">
        <w:rPr>
          <w:rFonts w:eastAsia="仿宋_GB2312" w:hint="eastAsia"/>
          <w:b/>
          <w:bCs/>
          <w:color w:val="000000"/>
          <w:sz w:val="32"/>
        </w:rPr>
        <w:t xml:space="preserve">            </w:t>
      </w:r>
      <w:r w:rsidRPr="009D60C7">
        <w:rPr>
          <w:rFonts w:eastAsia="仿宋_GB2312" w:hint="eastAsia"/>
          <w:b/>
          <w:bCs/>
          <w:color w:val="000000"/>
          <w:sz w:val="24"/>
        </w:rPr>
        <w:t xml:space="preserve">        </w:t>
      </w:r>
      <w:r w:rsidRPr="009D60C7">
        <w:rPr>
          <w:rFonts w:eastAsia="仿宋_GB2312" w:hint="eastAsia"/>
          <w:bCs/>
          <w:color w:val="000000"/>
          <w:sz w:val="24"/>
        </w:rPr>
        <w:t xml:space="preserve"> </w:t>
      </w:r>
      <w:r w:rsidRPr="009D60C7">
        <w:rPr>
          <w:rFonts w:eastAsia="仿宋_GB2312" w:hint="eastAsia"/>
          <w:b/>
          <w:bCs/>
          <w:color w:val="000000"/>
          <w:sz w:val="32"/>
        </w:rPr>
        <w:t xml:space="preserve">                            </w:t>
      </w:r>
      <w:r w:rsidRPr="009D60C7">
        <w:rPr>
          <w:rFonts w:eastAsia="仿宋_GB2312" w:hint="eastAsia"/>
          <w:b/>
          <w:bCs/>
          <w:color w:val="000000"/>
          <w:sz w:val="24"/>
        </w:rPr>
        <w:t xml:space="preserve">   </w:t>
      </w:r>
      <w:r w:rsidRPr="009D60C7">
        <w:rPr>
          <w:rFonts w:eastAsia="仿宋_GB2312" w:hint="eastAsia"/>
          <w:bCs/>
          <w:color w:val="000000"/>
          <w:sz w:val="24"/>
        </w:rPr>
        <w:t xml:space="preserve">     </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lastRenderedPageBreak/>
        <w:t>全年新签外资项目43项，实际利用外资5.33亿美元，增长6.2％。全年新批设立境外机构26家，中方境外投资额1.7亿美元，比上年增长91.7%。国际经济合作营业额6283万美元。</w:t>
      </w:r>
    </w:p>
    <w:p w:rsidR="00201219" w:rsidRPr="00201219" w:rsidRDefault="00201219" w:rsidP="00201219">
      <w:pPr>
        <w:spacing w:line="600" w:lineRule="exact"/>
        <w:jc w:val="center"/>
        <w:rPr>
          <w:rFonts w:eastAsia="黑体" w:hint="eastAsia"/>
          <w:color w:val="000000"/>
          <w:sz w:val="32"/>
        </w:rPr>
      </w:pPr>
    </w:p>
    <w:p w:rsidR="00201219" w:rsidRPr="00201219" w:rsidRDefault="00201219" w:rsidP="00201219">
      <w:pPr>
        <w:spacing w:line="600" w:lineRule="exact"/>
        <w:jc w:val="center"/>
        <w:rPr>
          <w:rFonts w:eastAsia="黑体"/>
          <w:color w:val="000000"/>
          <w:sz w:val="32"/>
        </w:rPr>
      </w:pPr>
      <w:r w:rsidRPr="00201219">
        <w:rPr>
          <w:rFonts w:eastAsia="黑体" w:hint="eastAsia"/>
          <w:color w:val="000000"/>
          <w:sz w:val="32"/>
        </w:rPr>
        <w:t>七、交通、邮电和电力</w:t>
      </w:r>
    </w:p>
    <w:p w:rsidR="00201219" w:rsidRPr="00201219" w:rsidRDefault="00201219" w:rsidP="00201219">
      <w:pPr>
        <w:spacing w:line="600" w:lineRule="exact"/>
        <w:jc w:val="center"/>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年末公路总里程14466公里，其中高速公路297公里，一级公路385公里，二、三级公路1847公里。公路绿化率71.6％。客运班车通村率90.7％。市区公共交通营运线路148条，年载客量3.31亿人次。</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机动车保有量188.23万辆，比上年末增加15.52万辆，其中载客汽车125.62万辆，载货汽车14.95万辆，摩托车47.15万辆。私人汽车126.98万辆，增加15.05万辆。全年货物运输量12782万吨，比上年增长8.9％，旅客运输量22339万人次，下降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2160"/>
      </w:tblGrid>
      <w:tr w:rsidR="00201219" w:rsidRPr="00C00694" w:rsidTr="002F326F">
        <w:trPr>
          <w:jc w:val="center"/>
        </w:trPr>
        <w:tc>
          <w:tcPr>
            <w:tcW w:w="7308" w:type="dxa"/>
            <w:gridSpan w:val="3"/>
            <w:tcBorders>
              <w:top w:val="single" w:sz="4" w:space="0" w:color="FFFFFF"/>
              <w:left w:val="single" w:sz="4" w:space="0" w:color="FFFFFF"/>
              <w:bottom w:val="single" w:sz="12" w:space="0" w:color="000000"/>
              <w:right w:val="single" w:sz="4" w:space="0" w:color="FFFFFF"/>
            </w:tcBorders>
            <w:shd w:val="clear" w:color="auto" w:fill="auto"/>
          </w:tcPr>
          <w:p w:rsidR="00201219" w:rsidRPr="00201219" w:rsidRDefault="00201219" w:rsidP="00201219">
            <w:pPr>
              <w:spacing w:line="400" w:lineRule="exact"/>
              <w:ind w:firstLineChars="49" w:firstLine="137"/>
              <w:rPr>
                <w:rFonts w:ascii="黑体" w:eastAsia="黑体" w:hAnsi="黑体" w:cs="宋体" w:hint="eastAsia"/>
                <w:color w:val="000000"/>
                <w:kern w:val="0"/>
                <w:sz w:val="28"/>
                <w:szCs w:val="28"/>
                <w:highlight w:val="yellow"/>
              </w:rPr>
            </w:pPr>
            <w:r w:rsidRPr="00201219">
              <w:rPr>
                <w:rFonts w:ascii="黑体" w:eastAsia="黑体" w:hAnsi="黑体" w:cs="宋体" w:hint="eastAsia"/>
                <w:color w:val="000000"/>
                <w:kern w:val="0"/>
                <w:sz w:val="28"/>
                <w:szCs w:val="28"/>
              </w:rPr>
              <w:t xml:space="preserve">表5  </w:t>
            </w:r>
            <w:r>
              <w:rPr>
                <w:rFonts w:ascii="黑体" w:eastAsia="黑体" w:hAnsi="黑体" w:cs="宋体"/>
                <w:color w:val="000000"/>
                <w:kern w:val="0"/>
                <w:sz w:val="28"/>
                <w:szCs w:val="28"/>
              </w:rPr>
              <w:t xml:space="preserve">    </w:t>
            </w:r>
            <w:r w:rsidRPr="00201219">
              <w:rPr>
                <w:rFonts w:ascii="黑体" w:eastAsia="黑体" w:hAnsi="黑体" w:cs="宋体" w:hint="eastAsia"/>
                <w:color w:val="000000"/>
                <w:kern w:val="0"/>
                <w:sz w:val="28"/>
                <w:szCs w:val="28"/>
              </w:rPr>
              <w:t>2014年各种运输方式完成客货运输情况</w:t>
            </w:r>
          </w:p>
        </w:tc>
      </w:tr>
      <w:tr w:rsidR="00201219" w:rsidRPr="006667BC" w:rsidTr="002F326F">
        <w:trPr>
          <w:jc w:val="center"/>
        </w:trPr>
        <w:tc>
          <w:tcPr>
            <w:tcW w:w="3168" w:type="dxa"/>
            <w:tcBorders>
              <w:top w:val="single" w:sz="12" w:space="0" w:color="000000"/>
              <w:left w:val="single" w:sz="4" w:space="0" w:color="FFFFFF"/>
              <w:bottom w:val="single" w:sz="2" w:space="0" w:color="000000"/>
              <w:right w:val="single" w:sz="2" w:space="0" w:color="000000"/>
            </w:tcBorders>
            <w:shd w:val="clear" w:color="auto" w:fill="auto"/>
            <w:vAlign w:val="center"/>
          </w:tcPr>
          <w:p w:rsidR="00201219" w:rsidRPr="0082389A" w:rsidRDefault="00201219" w:rsidP="00201219">
            <w:pPr>
              <w:spacing w:line="400" w:lineRule="exact"/>
              <w:ind w:left="57" w:right="57"/>
              <w:jc w:val="center"/>
              <w:rPr>
                <w:rFonts w:asciiTheme="minorEastAsia" w:eastAsiaTheme="minorEastAsia" w:hAnsiTheme="minorEastAsia" w:cs="宋体"/>
                <w:iCs/>
                <w:color w:val="000000"/>
                <w:sz w:val="24"/>
              </w:rPr>
            </w:pPr>
            <w:r w:rsidRPr="0082389A">
              <w:rPr>
                <w:rFonts w:asciiTheme="minorEastAsia" w:eastAsiaTheme="minorEastAsia" w:hAnsiTheme="minorEastAsia"/>
                <w:iCs/>
                <w:color w:val="000000"/>
                <w:sz w:val="24"/>
              </w:rPr>
              <w:t> </w:t>
            </w:r>
            <w:r w:rsidRPr="0082389A">
              <w:rPr>
                <w:rFonts w:asciiTheme="minorEastAsia" w:eastAsiaTheme="minorEastAsia" w:hAnsiTheme="minorEastAsia" w:cs="宋体" w:hint="eastAsia"/>
                <w:iCs/>
                <w:color w:val="000000"/>
                <w:sz w:val="24"/>
              </w:rPr>
              <w:t>指</w:t>
            </w:r>
            <w:r w:rsidRPr="0082389A">
              <w:rPr>
                <w:rFonts w:asciiTheme="minorEastAsia" w:eastAsiaTheme="minorEastAsia" w:hAnsiTheme="minorEastAsia"/>
                <w:iCs/>
                <w:color w:val="000000"/>
                <w:sz w:val="24"/>
              </w:rPr>
              <w:t xml:space="preserve"> </w:t>
            </w:r>
            <w:r w:rsidRPr="0082389A">
              <w:rPr>
                <w:rFonts w:asciiTheme="minorEastAsia" w:eastAsiaTheme="minorEastAsia" w:hAnsiTheme="minorEastAsia" w:hint="eastAsia"/>
                <w:iCs/>
                <w:color w:val="000000"/>
                <w:sz w:val="24"/>
              </w:rPr>
              <w:t xml:space="preserve"> </w:t>
            </w:r>
            <w:r w:rsidRPr="0082389A">
              <w:rPr>
                <w:rFonts w:asciiTheme="minorEastAsia" w:eastAsiaTheme="minorEastAsia" w:hAnsiTheme="minorEastAsia"/>
                <w:iCs/>
                <w:color w:val="000000"/>
                <w:sz w:val="24"/>
              </w:rPr>
              <w:t xml:space="preserve">   </w:t>
            </w:r>
            <w:r w:rsidRPr="0082389A">
              <w:rPr>
                <w:rFonts w:asciiTheme="minorEastAsia" w:eastAsiaTheme="minorEastAsia" w:hAnsiTheme="minorEastAsia" w:cs="宋体" w:hint="eastAsia"/>
                <w:iCs/>
                <w:color w:val="000000"/>
                <w:sz w:val="24"/>
              </w:rPr>
              <w:t>标</w:t>
            </w:r>
          </w:p>
        </w:tc>
        <w:tc>
          <w:tcPr>
            <w:tcW w:w="1980" w:type="dxa"/>
            <w:tcBorders>
              <w:top w:val="single" w:sz="12" w:space="0" w:color="000000"/>
              <w:left w:val="single" w:sz="2" w:space="0" w:color="000000"/>
              <w:bottom w:val="single" w:sz="2" w:space="0" w:color="000000"/>
              <w:right w:val="single" w:sz="2" w:space="0" w:color="000000"/>
            </w:tcBorders>
            <w:shd w:val="clear" w:color="auto" w:fill="auto"/>
            <w:vAlign w:val="center"/>
          </w:tcPr>
          <w:p w:rsidR="00201219" w:rsidRPr="0082389A" w:rsidRDefault="00201219" w:rsidP="00201219">
            <w:pPr>
              <w:spacing w:line="400" w:lineRule="exact"/>
              <w:ind w:left="57" w:right="57"/>
              <w:jc w:val="center"/>
              <w:rPr>
                <w:rFonts w:asciiTheme="minorEastAsia" w:eastAsiaTheme="minorEastAsia" w:hAnsiTheme="minorEastAsia" w:cs="宋体"/>
                <w:iCs/>
                <w:color w:val="000000"/>
                <w:sz w:val="24"/>
              </w:rPr>
            </w:pPr>
            <w:r w:rsidRPr="0082389A">
              <w:rPr>
                <w:rFonts w:asciiTheme="minorEastAsia" w:eastAsiaTheme="minorEastAsia" w:hAnsiTheme="minorEastAsia" w:cs="宋体" w:hint="eastAsia"/>
                <w:iCs/>
                <w:color w:val="000000"/>
                <w:sz w:val="24"/>
              </w:rPr>
              <w:t>实绩</w:t>
            </w:r>
          </w:p>
        </w:tc>
        <w:tc>
          <w:tcPr>
            <w:tcW w:w="2160" w:type="dxa"/>
            <w:tcBorders>
              <w:top w:val="single" w:sz="12" w:space="0" w:color="000000"/>
              <w:left w:val="single" w:sz="2" w:space="0" w:color="000000"/>
              <w:bottom w:val="single" w:sz="2" w:space="0" w:color="000000"/>
              <w:right w:val="single" w:sz="4" w:space="0" w:color="FFFFFF"/>
            </w:tcBorders>
            <w:shd w:val="clear" w:color="auto" w:fill="auto"/>
            <w:vAlign w:val="center"/>
          </w:tcPr>
          <w:p w:rsidR="00201219" w:rsidRPr="0082389A" w:rsidRDefault="00201219" w:rsidP="00201219">
            <w:pPr>
              <w:spacing w:line="400" w:lineRule="exact"/>
              <w:ind w:left="57" w:right="57"/>
              <w:jc w:val="center"/>
              <w:rPr>
                <w:rFonts w:asciiTheme="minorEastAsia" w:eastAsiaTheme="minorEastAsia" w:hAnsiTheme="minorEastAsia"/>
                <w:iCs/>
                <w:color w:val="000000"/>
                <w:sz w:val="24"/>
              </w:rPr>
            </w:pPr>
            <w:r w:rsidRPr="0082389A">
              <w:rPr>
                <w:rFonts w:asciiTheme="minorEastAsia" w:eastAsiaTheme="minorEastAsia" w:hAnsiTheme="minorEastAsia" w:cs="宋体" w:hint="eastAsia"/>
                <w:iCs/>
                <w:color w:val="000000"/>
                <w:sz w:val="24"/>
              </w:rPr>
              <w:t>比上年增长（</w:t>
            </w:r>
            <w:r w:rsidRPr="0082389A">
              <w:rPr>
                <w:rFonts w:asciiTheme="minorEastAsia" w:eastAsiaTheme="minorEastAsia" w:hAnsiTheme="minorEastAsia"/>
                <w:iCs/>
                <w:color w:val="000000"/>
                <w:sz w:val="24"/>
              </w:rPr>
              <w:t>%</w:t>
            </w:r>
            <w:r w:rsidRPr="0082389A">
              <w:rPr>
                <w:rFonts w:asciiTheme="minorEastAsia" w:eastAsiaTheme="minorEastAsia" w:hAnsiTheme="minorEastAsia" w:hint="eastAsia"/>
                <w:iCs/>
                <w:color w:val="000000"/>
                <w:sz w:val="24"/>
              </w:rPr>
              <w:t>）</w:t>
            </w:r>
          </w:p>
        </w:tc>
      </w:tr>
      <w:tr w:rsidR="00201219" w:rsidRPr="006667BC"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货物运输量（万吨）</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12782.12</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8.9</w:t>
            </w:r>
          </w:p>
        </w:tc>
      </w:tr>
      <w:tr w:rsidR="00201219" w:rsidRPr="00C00694"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ind w:firstLineChars="150" w:firstLine="360"/>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#铁路</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720.04</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olor w:val="000000"/>
                <w:sz w:val="24"/>
              </w:rPr>
            </w:pPr>
            <w:r w:rsidRPr="0082389A">
              <w:rPr>
                <w:rFonts w:asciiTheme="minorEastAsia" w:eastAsiaTheme="minorEastAsia" w:hAnsiTheme="minorEastAsia" w:hint="eastAsia"/>
                <w:color w:val="000000"/>
                <w:sz w:val="24"/>
              </w:rPr>
              <w:t>12.3</w:t>
            </w:r>
          </w:p>
        </w:tc>
      </w:tr>
      <w:tr w:rsidR="00201219" w:rsidRPr="00E728FC"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ind w:firstLineChars="150" w:firstLine="360"/>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 xml:space="preserve"> 公路（营运）</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7681</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4.2</w:t>
            </w:r>
          </w:p>
        </w:tc>
      </w:tr>
      <w:tr w:rsidR="00201219" w:rsidRPr="00D45F0D"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 xml:space="preserve">    水运</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4377</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olor w:val="000000"/>
                <w:sz w:val="24"/>
              </w:rPr>
            </w:pPr>
            <w:r w:rsidRPr="0082389A">
              <w:rPr>
                <w:rFonts w:asciiTheme="minorEastAsia" w:eastAsiaTheme="minorEastAsia" w:hAnsiTheme="minorEastAsia" w:hint="eastAsia"/>
                <w:color w:val="000000"/>
                <w:sz w:val="24"/>
              </w:rPr>
              <w:t>17.4</w:t>
            </w:r>
          </w:p>
        </w:tc>
      </w:tr>
      <w:tr w:rsidR="00201219" w:rsidRPr="00E728FC"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 xml:space="preserve">    航空出港货物</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4.08</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14.4</w:t>
            </w:r>
          </w:p>
        </w:tc>
      </w:tr>
      <w:tr w:rsidR="00201219" w:rsidRPr="001E2BBC"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旅客运输量（</w:t>
            </w:r>
            <w:proofErr w:type="gramStart"/>
            <w:r w:rsidRPr="0082389A">
              <w:rPr>
                <w:rFonts w:asciiTheme="minorEastAsia" w:eastAsiaTheme="minorEastAsia" w:hAnsiTheme="minorEastAsia" w:cs="宋体" w:hint="eastAsia"/>
                <w:color w:val="000000"/>
                <w:kern w:val="0"/>
                <w:sz w:val="24"/>
              </w:rPr>
              <w:t>万人次</w:t>
            </w:r>
            <w:proofErr w:type="gramEnd"/>
            <w:r w:rsidRPr="0082389A">
              <w:rPr>
                <w:rFonts w:asciiTheme="minorEastAsia" w:eastAsiaTheme="minorEastAsia" w:hAnsiTheme="minorEastAsia" w:cs="宋体" w:hint="eastAsia"/>
                <w:color w:val="000000"/>
                <w:kern w:val="0"/>
                <w:sz w:val="24"/>
              </w:rPr>
              <w:t>）</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22339.19</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sz w:val="24"/>
              </w:rPr>
            </w:pPr>
            <w:r w:rsidRPr="0082389A">
              <w:rPr>
                <w:rFonts w:asciiTheme="minorEastAsia" w:eastAsiaTheme="minorEastAsia" w:hAnsiTheme="minorEastAsia" w:hint="eastAsia"/>
                <w:sz w:val="24"/>
              </w:rPr>
              <w:t xml:space="preserve">-11.0 </w:t>
            </w:r>
          </w:p>
        </w:tc>
      </w:tr>
      <w:tr w:rsidR="00201219" w:rsidRPr="00C00694" w:rsidTr="002F326F">
        <w:trPr>
          <w:jc w:val="center"/>
        </w:trPr>
        <w:tc>
          <w:tcPr>
            <w:tcW w:w="3168" w:type="dxa"/>
            <w:tcBorders>
              <w:top w:val="single" w:sz="2" w:space="0" w:color="000000"/>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ind w:firstLineChars="150" w:firstLine="360"/>
              <w:jc w:val="left"/>
              <w:rPr>
                <w:rFonts w:asciiTheme="minorEastAsia" w:eastAsiaTheme="minorEastAsia" w:hAnsiTheme="minorEastAsia" w:cs="宋体" w:hint="eastAsia"/>
                <w:color w:val="000000"/>
                <w:kern w:val="0"/>
                <w:sz w:val="24"/>
                <w:highlight w:val="yellow"/>
              </w:rPr>
            </w:pPr>
            <w:r w:rsidRPr="0082389A">
              <w:rPr>
                <w:rFonts w:asciiTheme="minorEastAsia" w:eastAsiaTheme="minorEastAsia" w:hAnsiTheme="minorEastAsia" w:cs="宋体" w:hint="eastAsia"/>
                <w:color w:val="000000"/>
                <w:kern w:val="0"/>
                <w:sz w:val="24"/>
              </w:rPr>
              <w:t>#铁路</w:t>
            </w:r>
          </w:p>
        </w:tc>
        <w:tc>
          <w:tcPr>
            <w:tcW w:w="1980" w:type="dxa"/>
            <w:tcBorders>
              <w:top w:val="single" w:sz="2" w:space="0" w:color="000000"/>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1542.38</w:t>
            </w:r>
          </w:p>
        </w:tc>
        <w:tc>
          <w:tcPr>
            <w:tcW w:w="2160" w:type="dxa"/>
            <w:tcBorders>
              <w:top w:val="single" w:sz="2" w:space="0" w:color="000000"/>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sz w:val="24"/>
              </w:rPr>
            </w:pPr>
            <w:r w:rsidRPr="0082389A">
              <w:rPr>
                <w:rFonts w:asciiTheme="minorEastAsia" w:eastAsiaTheme="minorEastAsia" w:hAnsiTheme="minorEastAsia" w:hint="eastAsia"/>
                <w:sz w:val="24"/>
              </w:rPr>
              <w:t xml:space="preserve">38.6 </w:t>
            </w:r>
          </w:p>
        </w:tc>
      </w:tr>
      <w:tr w:rsidR="00201219" w:rsidRPr="00CB4CD7" w:rsidTr="002F326F">
        <w:trPr>
          <w:jc w:val="center"/>
        </w:trPr>
        <w:tc>
          <w:tcPr>
            <w:tcW w:w="3168" w:type="dxa"/>
            <w:tcBorders>
              <w:top w:val="single" w:sz="4" w:space="0" w:color="FFFFFF"/>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 xml:space="preserve">    公路</w:t>
            </w:r>
          </w:p>
        </w:tc>
        <w:tc>
          <w:tcPr>
            <w:tcW w:w="1980" w:type="dxa"/>
            <w:tcBorders>
              <w:top w:val="single" w:sz="4" w:space="0" w:color="FFFFFF"/>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20386</w:t>
            </w:r>
          </w:p>
        </w:tc>
        <w:tc>
          <w:tcPr>
            <w:tcW w:w="2160" w:type="dxa"/>
            <w:tcBorders>
              <w:top w:val="single" w:sz="4" w:space="0" w:color="FFFFFF"/>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sz w:val="24"/>
              </w:rPr>
            </w:pPr>
            <w:r w:rsidRPr="0082389A">
              <w:rPr>
                <w:rFonts w:asciiTheme="minorEastAsia" w:eastAsiaTheme="minorEastAsia" w:hAnsiTheme="minorEastAsia" w:hint="eastAsia"/>
                <w:sz w:val="24"/>
              </w:rPr>
              <w:t xml:space="preserve">-13.6 </w:t>
            </w:r>
          </w:p>
        </w:tc>
      </w:tr>
      <w:tr w:rsidR="00201219" w:rsidRPr="00BF6CC5" w:rsidTr="002F326F">
        <w:trPr>
          <w:jc w:val="center"/>
        </w:trPr>
        <w:tc>
          <w:tcPr>
            <w:tcW w:w="3168" w:type="dxa"/>
            <w:tcBorders>
              <w:top w:val="single" w:sz="4" w:space="0" w:color="FFFFFF"/>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lastRenderedPageBreak/>
              <w:t xml:space="preserve">    水运</w:t>
            </w:r>
          </w:p>
        </w:tc>
        <w:tc>
          <w:tcPr>
            <w:tcW w:w="1980" w:type="dxa"/>
            <w:tcBorders>
              <w:top w:val="single" w:sz="4" w:space="0" w:color="FFFFFF"/>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56.23</w:t>
            </w:r>
          </w:p>
        </w:tc>
        <w:tc>
          <w:tcPr>
            <w:tcW w:w="2160" w:type="dxa"/>
            <w:tcBorders>
              <w:top w:val="single" w:sz="4" w:space="0" w:color="FFFFFF"/>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sz w:val="24"/>
              </w:rPr>
            </w:pPr>
            <w:r w:rsidRPr="0082389A">
              <w:rPr>
                <w:rFonts w:asciiTheme="minorEastAsia" w:eastAsiaTheme="minorEastAsia" w:hAnsiTheme="minorEastAsia" w:hint="eastAsia"/>
                <w:sz w:val="24"/>
              </w:rPr>
              <w:t xml:space="preserve">8.4 </w:t>
            </w:r>
          </w:p>
        </w:tc>
      </w:tr>
      <w:tr w:rsidR="00201219" w:rsidRPr="004D65F6" w:rsidTr="002F326F">
        <w:trPr>
          <w:jc w:val="center"/>
        </w:trPr>
        <w:tc>
          <w:tcPr>
            <w:tcW w:w="3168" w:type="dxa"/>
            <w:tcBorders>
              <w:top w:val="single" w:sz="4" w:space="0" w:color="FFFFFF"/>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 xml:space="preserve">    航空</w:t>
            </w:r>
          </w:p>
        </w:tc>
        <w:tc>
          <w:tcPr>
            <w:tcW w:w="1980" w:type="dxa"/>
            <w:tcBorders>
              <w:top w:val="single" w:sz="4" w:space="0" w:color="FFFFFF"/>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354.58</w:t>
            </w:r>
          </w:p>
        </w:tc>
        <w:tc>
          <w:tcPr>
            <w:tcW w:w="2160" w:type="dxa"/>
            <w:tcBorders>
              <w:top w:val="single" w:sz="4" w:space="0" w:color="FFFFFF"/>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sz w:val="24"/>
              </w:rPr>
            </w:pPr>
            <w:r w:rsidRPr="0082389A">
              <w:rPr>
                <w:rFonts w:asciiTheme="minorEastAsia" w:eastAsiaTheme="minorEastAsia" w:hAnsiTheme="minorEastAsia" w:hint="eastAsia"/>
                <w:sz w:val="24"/>
              </w:rPr>
              <w:t xml:space="preserve">3.4 </w:t>
            </w:r>
          </w:p>
        </w:tc>
      </w:tr>
      <w:tr w:rsidR="00201219" w:rsidRPr="006667BC" w:rsidTr="002F326F">
        <w:trPr>
          <w:jc w:val="center"/>
        </w:trPr>
        <w:tc>
          <w:tcPr>
            <w:tcW w:w="3168" w:type="dxa"/>
            <w:tcBorders>
              <w:top w:val="single" w:sz="4" w:space="0" w:color="FFFFFF"/>
              <w:left w:val="single" w:sz="4" w:space="0" w:color="FFFFFF"/>
              <w:bottom w:val="single" w:sz="4" w:space="0" w:color="FFFFFF"/>
              <w:right w:val="single" w:sz="2" w:space="0" w:color="000000"/>
            </w:tcBorders>
            <w:shd w:val="clear" w:color="auto" w:fill="auto"/>
          </w:tcPr>
          <w:p w:rsidR="00201219" w:rsidRPr="0082389A" w:rsidRDefault="00201219" w:rsidP="00201219">
            <w:pPr>
              <w:spacing w:line="400" w:lineRule="exact"/>
              <w:jc w:val="lef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港口货物吞吐量（万吨）</w:t>
            </w:r>
          </w:p>
        </w:tc>
        <w:tc>
          <w:tcPr>
            <w:tcW w:w="1980" w:type="dxa"/>
            <w:tcBorders>
              <w:top w:val="single" w:sz="4" w:space="0" w:color="FFFFFF"/>
              <w:left w:val="single" w:sz="2" w:space="0" w:color="000000"/>
              <w:bottom w:val="single" w:sz="4" w:space="0" w:color="FFFFFF"/>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7901</w:t>
            </w:r>
          </w:p>
        </w:tc>
        <w:tc>
          <w:tcPr>
            <w:tcW w:w="2160" w:type="dxa"/>
            <w:tcBorders>
              <w:top w:val="single" w:sz="4" w:space="0" w:color="FFFFFF"/>
              <w:left w:val="single" w:sz="2" w:space="0" w:color="000000"/>
              <w:bottom w:val="single" w:sz="4" w:space="0" w:color="FFFFFF"/>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olor w:val="000000"/>
                <w:sz w:val="24"/>
              </w:rPr>
            </w:pPr>
            <w:r w:rsidRPr="0082389A">
              <w:rPr>
                <w:rFonts w:asciiTheme="minorEastAsia" w:eastAsiaTheme="minorEastAsia" w:hAnsiTheme="minorEastAsia" w:hint="eastAsia"/>
                <w:color w:val="000000"/>
                <w:sz w:val="24"/>
              </w:rPr>
              <w:t>7.1</w:t>
            </w:r>
          </w:p>
        </w:tc>
      </w:tr>
      <w:tr w:rsidR="00201219" w:rsidRPr="006667BC" w:rsidTr="002F326F">
        <w:trPr>
          <w:jc w:val="center"/>
        </w:trPr>
        <w:tc>
          <w:tcPr>
            <w:tcW w:w="3168" w:type="dxa"/>
            <w:tcBorders>
              <w:top w:val="single" w:sz="4" w:space="0" w:color="FFFFFF"/>
              <w:left w:val="single" w:sz="4" w:space="0" w:color="FFFFFF"/>
              <w:bottom w:val="single" w:sz="12" w:space="0" w:color="000000"/>
              <w:right w:val="single" w:sz="2" w:space="0" w:color="000000"/>
            </w:tcBorders>
            <w:shd w:val="clear" w:color="auto" w:fill="auto"/>
          </w:tcPr>
          <w:p w:rsidR="00201219" w:rsidRPr="0082389A" w:rsidRDefault="00201219" w:rsidP="00201219">
            <w:pPr>
              <w:spacing w:line="400" w:lineRule="exact"/>
              <w:rPr>
                <w:rFonts w:asciiTheme="minorEastAsia" w:eastAsiaTheme="minorEastAsia" w:hAnsiTheme="minorEastAsia"/>
                <w:color w:val="000000"/>
                <w:sz w:val="24"/>
              </w:rPr>
            </w:pPr>
            <w:r w:rsidRPr="0082389A">
              <w:rPr>
                <w:rFonts w:asciiTheme="minorEastAsia" w:eastAsiaTheme="minorEastAsia" w:hAnsiTheme="minorEastAsia" w:cs="宋体" w:hint="eastAsia"/>
                <w:color w:val="000000"/>
                <w:kern w:val="0"/>
                <w:sz w:val="24"/>
              </w:rPr>
              <w:t>集装箱吞吐量（</w:t>
            </w:r>
            <w:proofErr w:type="gramStart"/>
            <w:r w:rsidRPr="0082389A">
              <w:rPr>
                <w:rFonts w:asciiTheme="minorEastAsia" w:eastAsiaTheme="minorEastAsia" w:hAnsiTheme="minorEastAsia" w:cs="宋体" w:hint="eastAsia"/>
                <w:color w:val="000000"/>
                <w:kern w:val="0"/>
                <w:sz w:val="24"/>
              </w:rPr>
              <w:t>万标准</w:t>
            </w:r>
            <w:proofErr w:type="gramEnd"/>
            <w:r w:rsidRPr="0082389A">
              <w:rPr>
                <w:rFonts w:asciiTheme="minorEastAsia" w:eastAsiaTheme="minorEastAsia" w:hAnsiTheme="minorEastAsia" w:cs="宋体" w:hint="eastAsia"/>
                <w:color w:val="000000"/>
                <w:kern w:val="0"/>
                <w:sz w:val="24"/>
              </w:rPr>
              <w:t>箱）</w:t>
            </w:r>
          </w:p>
        </w:tc>
        <w:tc>
          <w:tcPr>
            <w:tcW w:w="1980" w:type="dxa"/>
            <w:tcBorders>
              <w:top w:val="single" w:sz="4" w:space="0" w:color="FFFFFF"/>
              <w:left w:val="single" w:sz="2" w:space="0" w:color="000000"/>
              <w:bottom w:val="single" w:sz="12" w:space="0" w:color="000000"/>
              <w:right w:val="single" w:sz="2" w:space="0" w:color="000000"/>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s="宋体"/>
                <w:color w:val="000000"/>
                <w:sz w:val="24"/>
              </w:rPr>
            </w:pPr>
            <w:r w:rsidRPr="0082389A">
              <w:rPr>
                <w:rFonts w:asciiTheme="minorEastAsia" w:eastAsiaTheme="minorEastAsia" w:hAnsiTheme="minorEastAsia" w:hint="eastAsia"/>
                <w:color w:val="000000"/>
                <w:sz w:val="24"/>
              </w:rPr>
              <w:t>60.38</w:t>
            </w:r>
          </w:p>
        </w:tc>
        <w:tc>
          <w:tcPr>
            <w:tcW w:w="2160" w:type="dxa"/>
            <w:tcBorders>
              <w:top w:val="single" w:sz="4" w:space="0" w:color="FFFFFF"/>
              <w:left w:val="single" w:sz="2" w:space="0" w:color="000000"/>
              <w:bottom w:val="single" w:sz="12" w:space="0" w:color="000000"/>
              <w:right w:val="single" w:sz="4" w:space="0" w:color="FFFFFF"/>
            </w:tcBorders>
            <w:shd w:val="clear" w:color="auto" w:fill="auto"/>
            <w:vAlign w:val="bottom"/>
          </w:tcPr>
          <w:p w:rsidR="00201219" w:rsidRPr="0082389A" w:rsidRDefault="00201219" w:rsidP="00201219">
            <w:pPr>
              <w:spacing w:line="400" w:lineRule="exact"/>
              <w:jc w:val="right"/>
              <w:rPr>
                <w:rFonts w:asciiTheme="minorEastAsia" w:eastAsiaTheme="minorEastAsia" w:hAnsiTheme="minorEastAsia"/>
                <w:color w:val="000000"/>
                <w:sz w:val="24"/>
              </w:rPr>
            </w:pPr>
            <w:r w:rsidRPr="0082389A">
              <w:rPr>
                <w:rFonts w:asciiTheme="minorEastAsia" w:eastAsiaTheme="minorEastAsia" w:hAnsiTheme="minorEastAsia" w:hint="eastAsia"/>
                <w:color w:val="000000"/>
                <w:sz w:val="24"/>
              </w:rPr>
              <w:t>5.9</w:t>
            </w:r>
          </w:p>
        </w:tc>
      </w:tr>
    </w:tbl>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全年邮电业务收入151.26亿元，比上年增长1.9％，</w:t>
      </w:r>
      <w:r w:rsidRPr="00201219">
        <w:rPr>
          <w:rFonts w:ascii="仿宋_GB2312" w:eastAsia="仿宋_GB2312"/>
          <w:color w:val="000000"/>
          <w:sz w:val="32"/>
          <w:szCs w:val="32"/>
        </w:rPr>
        <w:t>其中</w:t>
      </w:r>
      <w:r w:rsidRPr="00201219">
        <w:rPr>
          <w:rFonts w:ascii="仿宋_GB2312" w:eastAsia="仿宋_GB2312" w:hint="eastAsia"/>
          <w:color w:val="000000"/>
          <w:sz w:val="32"/>
          <w:szCs w:val="32"/>
        </w:rPr>
        <w:t>通信行业</w:t>
      </w:r>
      <w:r w:rsidRPr="00201219">
        <w:rPr>
          <w:rFonts w:ascii="仿宋_GB2312" w:eastAsia="仿宋_GB2312"/>
          <w:color w:val="000000"/>
          <w:sz w:val="32"/>
          <w:szCs w:val="32"/>
        </w:rPr>
        <w:t>业务</w:t>
      </w:r>
      <w:r w:rsidRPr="00201219">
        <w:rPr>
          <w:rFonts w:ascii="仿宋_GB2312" w:eastAsia="仿宋_GB2312" w:hint="eastAsia"/>
          <w:color w:val="000000"/>
          <w:sz w:val="32"/>
          <w:szCs w:val="32"/>
        </w:rPr>
        <w:t>收入121.68</w:t>
      </w:r>
      <w:r w:rsidRPr="00201219">
        <w:rPr>
          <w:rFonts w:ascii="仿宋_GB2312" w:eastAsia="仿宋_GB2312"/>
          <w:color w:val="000000"/>
          <w:sz w:val="32"/>
          <w:szCs w:val="32"/>
        </w:rPr>
        <w:t>亿元，</w:t>
      </w:r>
      <w:r w:rsidRPr="00201219">
        <w:rPr>
          <w:rFonts w:ascii="仿宋_GB2312" w:eastAsia="仿宋_GB2312" w:hint="eastAsia"/>
          <w:color w:val="000000"/>
          <w:sz w:val="32"/>
          <w:szCs w:val="32"/>
        </w:rPr>
        <w:t>下降2.5％</w:t>
      </w:r>
      <w:r w:rsidRPr="00201219">
        <w:rPr>
          <w:rFonts w:ascii="仿宋_GB2312" w:eastAsia="仿宋_GB2312"/>
          <w:color w:val="000000"/>
          <w:sz w:val="32"/>
          <w:szCs w:val="32"/>
        </w:rPr>
        <w:t>。</w:t>
      </w:r>
      <w:r w:rsidRPr="00201219">
        <w:rPr>
          <w:rFonts w:ascii="仿宋_GB2312" w:eastAsia="仿宋_GB2312" w:hint="eastAsia"/>
          <w:color w:val="000000"/>
          <w:sz w:val="32"/>
          <w:szCs w:val="32"/>
        </w:rPr>
        <w:t>年末固定电话用户数210.06万户，移动电话用户数1113.34万户。年末互联网用户数997.16万户，其中宽带用户数261.48万户，增长10.4％。</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全市邮政业务总收入（含快递）32.62亿元，比上年增长21.7％。全年函件5826.1万件，包裹57.9万件，汇兑110.2万笔，快递21682.8万件。全年订销报纸19008万份，订销杂志622万份。</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电力系统最高负荷674.39万千瓦，增长2.6%。全年用电量349.27亿千瓦时，增长1.7%。其中工业用电量217.29亿千瓦时，增长0.6％；建筑业用电量8.57亿千瓦时，增长18.9％；商业用电量13.97亿千瓦时，增长4.8％；居民生活用电量78.74亿千瓦时，增长1.2％。</w:t>
      </w:r>
    </w:p>
    <w:p w:rsidR="00201219" w:rsidRPr="00201219" w:rsidRDefault="00201219" w:rsidP="00201219">
      <w:pPr>
        <w:spacing w:line="600" w:lineRule="exact"/>
        <w:ind w:firstLine="600"/>
        <w:rPr>
          <w:rFonts w:eastAsia="仿宋_GB2312" w:cs="宋体" w:hint="eastAsia"/>
          <w:color w:val="000000"/>
          <w:kern w:val="0"/>
          <w:sz w:val="30"/>
          <w:szCs w:val="30"/>
        </w:rPr>
      </w:pPr>
    </w:p>
    <w:p w:rsidR="00201219" w:rsidRPr="00201219" w:rsidRDefault="00201219" w:rsidP="00201219">
      <w:pPr>
        <w:spacing w:line="600" w:lineRule="exact"/>
        <w:jc w:val="center"/>
        <w:rPr>
          <w:rFonts w:eastAsia="黑体" w:hint="eastAsia"/>
          <w:color w:val="000000"/>
          <w:sz w:val="32"/>
        </w:rPr>
      </w:pPr>
      <w:r w:rsidRPr="00201219">
        <w:rPr>
          <w:rFonts w:eastAsia="黑体" w:hint="eastAsia"/>
          <w:color w:val="000000"/>
          <w:sz w:val="32"/>
        </w:rPr>
        <w:t>八、财政、金融和保险</w:t>
      </w:r>
    </w:p>
    <w:p w:rsidR="00201219" w:rsidRPr="00201219" w:rsidRDefault="00201219" w:rsidP="00201219">
      <w:pPr>
        <w:spacing w:line="600" w:lineRule="exact"/>
        <w:ind w:firstLineChars="200" w:firstLine="600"/>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全年财政总收入612.44亿元，比上年增长8.3%；其中公共财政预算收入352.53亿元，增长8.8%。全年公共财政预算支出488.58亿元，增长11.6%。其中，教育支出124.59</w:t>
      </w:r>
      <w:r w:rsidRPr="00201219">
        <w:rPr>
          <w:rFonts w:ascii="仿宋_GB2312" w:eastAsia="仿宋_GB2312" w:hint="eastAsia"/>
          <w:color w:val="000000"/>
          <w:sz w:val="32"/>
          <w:szCs w:val="32"/>
        </w:rPr>
        <w:lastRenderedPageBreak/>
        <w:t>亿元，增长7.1％；科学技术支出11.30亿元，增长13.1％；医疗卫生支出46.29亿元，增长32.5%；社会保障和就业支出38.62亿元，增长32.1%；环境保护支出7.75亿元，增长12.4%；交通运输支出32.22亿元，增长39.4％。</w:t>
      </w:r>
    </w:p>
    <w:p w:rsidR="00201219" w:rsidRPr="009D60C7" w:rsidRDefault="00201219" w:rsidP="00201219">
      <w:pPr>
        <w:spacing w:line="320" w:lineRule="atLeast"/>
        <w:jc w:val="center"/>
        <w:rPr>
          <w:rFonts w:eastAsia="仿宋_GB2312" w:cs="宋体" w:hint="eastAsia"/>
          <w:color w:val="000000"/>
          <w:kern w:val="0"/>
          <w:sz w:val="30"/>
          <w:szCs w:val="30"/>
        </w:rPr>
      </w:pPr>
      <w:r w:rsidRPr="006E46D2">
        <w:rPr>
          <w:noProof/>
        </w:rPr>
        <w:drawing>
          <wp:inline distT="0" distB="0" distL="0" distR="0">
            <wp:extent cx="5276850" cy="2989580"/>
            <wp:effectExtent l="0" t="0" r="0" b="127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年末金融机构本外币存款余额8309.34亿元，比上年末增长2.6％，其中人民币存款余额7937.16亿元，增长2.1％。年末城乡居民人民币储蓄存款余额3883.11亿元，增长1.6％。年末</w:t>
      </w:r>
      <w:r w:rsidRPr="00201219">
        <w:rPr>
          <w:rFonts w:ascii="仿宋_GB2312" w:eastAsia="仿宋_GB2312"/>
          <w:color w:val="000000"/>
          <w:sz w:val="32"/>
          <w:szCs w:val="32"/>
        </w:rPr>
        <w:t>金融机构</w:t>
      </w:r>
      <w:r w:rsidRPr="00201219">
        <w:rPr>
          <w:rFonts w:ascii="仿宋_GB2312" w:eastAsia="仿宋_GB2312" w:hint="eastAsia"/>
          <w:color w:val="000000"/>
          <w:sz w:val="32"/>
          <w:szCs w:val="32"/>
        </w:rPr>
        <w:t>本外币贷款余额7346.76亿元，增长1.1％，其中人民币贷款余额7223.63亿元，增长1.9％。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363"/>
        <w:gridCol w:w="2160"/>
      </w:tblGrid>
      <w:tr w:rsidR="00201219" w:rsidRPr="00DA3617" w:rsidTr="0082389A">
        <w:trPr>
          <w:jc w:val="center"/>
        </w:trPr>
        <w:tc>
          <w:tcPr>
            <w:tcW w:w="7314" w:type="dxa"/>
            <w:gridSpan w:val="3"/>
            <w:tcBorders>
              <w:top w:val="single" w:sz="4" w:space="0" w:color="FFFFFF"/>
              <w:left w:val="single" w:sz="4" w:space="0" w:color="FFFFFF"/>
              <w:bottom w:val="single" w:sz="12" w:space="0" w:color="000000"/>
              <w:right w:val="single" w:sz="4" w:space="0" w:color="FFFFFF"/>
            </w:tcBorders>
            <w:shd w:val="clear" w:color="auto" w:fill="auto"/>
          </w:tcPr>
          <w:p w:rsidR="00201219" w:rsidRPr="0082389A" w:rsidRDefault="00201219" w:rsidP="002F326F">
            <w:pPr>
              <w:spacing w:line="320" w:lineRule="atLeast"/>
              <w:rPr>
                <w:rFonts w:ascii="黑体" w:eastAsia="黑体" w:hAnsi="黑体" w:cs="宋体" w:hint="eastAsia"/>
                <w:color w:val="000000"/>
                <w:kern w:val="0"/>
                <w:sz w:val="28"/>
                <w:szCs w:val="28"/>
              </w:rPr>
            </w:pPr>
            <w:r w:rsidRPr="0082389A">
              <w:rPr>
                <w:rFonts w:ascii="黑体" w:eastAsia="黑体" w:hAnsi="黑体" w:hint="eastAsia"/>
                <w:color w:val="000000"/>
                <w:sz w:val="28"/>
                <w:szCs w:val="28"/>
              </w:rPr>
              <w:t xml:space="preserve">表6   </w:t>
            </w:r>
            <w:r w:rsidR="0082389A">
              <w:rPr>
                <w:rFonts w:ascii="黑体" w:eastAsia="黑体" w:hAnsi="黑体"/>
                <w:color w:val="000000"/>
                <w:sz w:val="28"/>
                <w:szCs w:val="28"/>
              </w:rPr>
              <w:t xml:space="preserve">    </w:t>
            </w:r>
            <w:r w:rsidRPr="0082389A">
              <w:rPr>
                <w:rFonts w:ascii="黑体" w:eastAsia="黑体" w:hAnsi="黑体" w:hint="eastAsia"/>
                <w:color w:val="000000"/>
                <w:sz w:val="28"/>
                <w:szCs w:val="28"/>
              </w:rPr>
              <w:t>2014年金融机构人民币存贷款情况</w:t>
            </w:r>
          </w:p>
        </w:tc>
      </w:tr>
      <w:tr w:rsidR="00201219" w:rsidRPr="00DA3617" w:rsidTr="0082389A">
        <w:trPr>
          <w:jc w:val="center"/>
        </w:trPr>
        <w:tc>
          <w:tcPr>
            <w:tcW w:w="2791" w:type="dxa"/>
            <w:tcBorders>
              <w:top w:val="single" w:sz="12" w:space="0" w:color="000000"/>
              <w:left w:val="single" w:sz="4" w:space="0" w:color="FFFFFF"/>
              <w:bottom w:val="single" w:sz="2" w:space="0" w:color="000000"/>
            </w:tcBorders>
            <w:shd w:val="clear" w:color="auto" w:fill="auto"/>
            <w:vAlign w:val="center"/>
          </w:tcPr>
          <w:p w:rsidR="00201219" w:rsidRPr="0082389A" w:rsidRDefault="00201219" w:rsidP="002F326F">
            <w:pPr>
              <w:ind w:left="57" w:right="57"/>
              <w:jc w:val="center"/>
              <w:rPr>
                <w:rFonts w:asciiTheme="minorEastAsia" w:eastAsiaTheme="minorEastAsia" w:hAnsiTheme="minorEastAsia" w:cs="宋体"/>
                <w:iCs/>
                <w:color w:val="000000"/>
                <w:sz w:val="24"/>
              </w:rPr>
            </w:pPr>
            <w:r w:rsidRPr="0082389A">
              <w:rPr>
                <w:rFonts w:asciiTheme="minorEastAsia" w:eastAsiaTheme="minorEastAsia" w:hAnsiTheme="minorEastAsia" w:cs="宋体" w:hint="eastAsia"/>
                <w:iCs/>
                <w:color w:val="000000"/>
                <w:sz w:val="24"/>
              </w:rPr>
              <w:t>指</w:t>
            </w:r>
            <w:r w:rsidRPr="0082389A">
              <w:rPr>
                <w:rFonts w:asciiTheme="minorEastAsia" w:eastAsiaTheme="minorEastAsia" w:hAnsiTheme="minorEastAsia"/>
                <w:iCs/>
                <w:color w:val="000000"/>
                <w:sz w:val="24"/>
              </w:rPr>
              <w:t xml:space="preserve">      </w:t>
            </w:r>
            <w:r w:rsidRPr="0082389A">
              <w:rPr>
                <w:rFonts w:asciiTheme="minorEastAsia" w:eastAsiaTheme="minorEastAsia" w:hAnsiTheme="minorEastAsia" w:cs="宋体" w:hint="eastAsia"/>
                <w:iCs/>
                <w:color w:val="000000"/>
                <w:sz w:val="24"/>
              </w:rPr>
              <w:t>标</w:t>
            </w:r>
          </w:p>
        </w:tc>
        <w:tc>
          <w:tcPr>
            <w:tcW w:w="2363" w:type="dxa"/>
            <w:tcBorders>
              <w:top w:val="single" w:sz="12" w:space="0" w:color="000000"/>
              <w:bottom w:val="single" w:sz="2" w:space="0" w:color="000000"/>
            </w:tcBorders>
            <w:shd w:val="clear" w:color="auto" w:fill="auto"/>
            <w:vAlign w:val="center"/>
          </w:tcPr>
          <w:p w:rsidR="00201219" w:rsidRPr="0082389A" w:rsidRDefault="00201219" w:rsidP="002F326F">
            <w:pPr>
              <w:ind w:left="57" w:right="57"/>
              <w:jc w:val="center"/>
              <w:rPr>
                <w:rFonts w:asciiTheme="minorEastAsia" w:eastAsiaTheme="minorEastAsia" w:hAnsiTheme="minorEastAsia" w:cs="宋体"/>
                <w:iCs/>
                <w:color w:val="000000"/>
                <w:sz w:val="24"/>
              </w:rPr>
            </w:pPr>
            <w:r w:rsidRPr="0082389A">
              <w:rPr>
                <w:rFonts w:asciiTheme="minorEastAsia" w:eastAsiaTheme="minorEastAsia" w:hAnsiTheme="minorEastAsia" w:cs="宋体" w:hint="eastAsia"/>
                <w:iCs/>
                <w:color w:val="000000"/>
                <w:sz w:val="24"/>
              </w:rPr>
              <w:t>2014年末数（亿元）</w:t>
            </w:r>
          </w:p>
        </w:tc>
        <w:tc>
          <w:tcPr>
            <w:tcW w:w="2160" w:type="dxa"/>
            <w:tcBorders>
              <w:top w:val="single" w:sz="12" w:space="0" w:color="000000"/>
              <w:bottom w:val="single" w:sz="2" w:space="0" w:color="000000"/>
              <w:right w:val="single" w:sz="4" w:space="0" w:color="FFFFFF"/>
            </w:tcBorders>
            <w:shd w:val="clear" w:color="auto" w:fill="auto"/>
            <w:vAlign w:val="center"/>
          </w:tcPr>
          <w:p w:rsidR="00201219" w:rsidRPr="0082389A" w:rsidRDefault="00201219" w:rsidP="002F326F">
            <w:pPr>
              <w:ind w:left="57" w:right="57"/>
              <w:jc w:val="center"/>
              <w:rPr>
                <w:rFonts w:asciiTheme="minorEastAsia" w:eastAsiaTheme="minorEastAsia" w:hAnsiTheme="minorEastAsia"/>
                <w:iCs/>
                <w:color w:val="000000"/>
                <w:sz w:val="24"/>
              </w:rPr>
            </w:pPr>
            <w:r w:rsidRPr="0082389A">
              <w:rPr>
                <w:rFonts w:asciiTheme="minorEastAsia" w:eastAsiaTheme="minorEastAsia" w:hAnsiTheme="minorEastAsia" w:cs="宋体" w:hint="eastAsia"/>
                <w:iCs/>
                <w:color w:val="000000"/>
                <w:sz w:val="24"/>
              </w:rPr>
              <w:t>比上年末增长（</w:t>
            </w:r>
            <w:r w:rsidRPr="0082389A">
              <w:rPr>
                <w:rFonts w:asciiTheme="minorEastAsia" w:eastAsiaTheme="minorEastAsia" w:hAnsiTheme="minorEastAsia"/>
                <w:iCs/>
                <w:color w:val="000000"/>
                <w:sz w:val="24"/>
              </w:rPr>
              <w:t>%</w:t>
            </w:r>
            <w:r w:rsidRPr="0082389A">
              <w:rPr>
                <w:rFonts w:asciiTheme="minorEastAsia" w:eastAsiaTheme="minorEastAsia" w:hAnsiTheme="minorEastAsia" w:hint="eastAsia"/>
                <w:iCs/>
                <w:color w:val="000000"/>
                <w:sz w:val="24"/>
              </w:rPr>
              <w:t>）</w:t>
            </w:r>
          </w:p>
        </w:tc>
      </w:tr>
      <w:tr w:rsidR="00201219" w:rsidRPr="00DA3617" w:rsidTr="0082389A">
        <w:trPr>
          <w:jc w:val="center"/>
        </w:trPr>
        <w:tc>
          <w:tcPr>
            <w:tcW w:w="2791" w:type="dxa"/>
            <w:tcBorders>
              <w:top w:val="single" w:sz="2" w:space="0" w:color="000000"/>
              <w:left w:val="single" w:sz="4" w:space="0" w:color="FFFFFF"/>
              <w:bottom w:val="single" w:sz="4" w:space="0" w:color="FFFFFF"/>
            </w:tcBorders>
            <w:shd w:val="clear" w:color="auto" w:fill="auto"/>
          </w:tcPr>
          <w:p w:rsidR="00201219" w:rsidRPr="0082389A" w:rsidRDefault="00201219" w:rsidP="002F326F">
            <w:pPr>
              <w:spacing w:line="320" w:lineRule="exact"/>
              <w:ind w:left="57" w:right="57"/>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各项存款余额</w:t>
            </w:r>
          </w:p>
        </w:tc>
        <w:tc>
          <w:tcPr>
            <w:tcW w:w="2363" w:type="dxa"/>
            <w:tcBorders>
              <w:top w:val="single" w:sz="2" w:space="0" w:color="000000"/>
              <w:bottom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7937.16</w:t>
            </w:r>
          </w:p>
        </w:tc>
        <w:tc>
          <w:tcPr>
            <w:tcW w:w="2160" w:type="dxa"/>
            <w:tcBorders>
              <w:top w:val="single" w:sz="2" w:space="0" w:color="000000"/>
              <w:bottom w:val="single" w:sz="4" w:space="0" w:color="FFFFFF"/>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2.1</w:t>
            </w:r>
          </w:p>
        </w:tc>
      </w:tr>
      <w:tr w:rsidR="00201219" w:rsidRPr="00DA3617" w:rsidTr="0082389A">
        <w:trPr>
          <w:jc w:val="center"/>
        </w:trPr>
        <w:tc>
          <w:tcPr>
            <w:tcW w:w="2791" w:type="dxa"/>
            <w:tcBorders>
              <w:top w:val="single" w:sz="4" w:space="0" w:color="FFFFFF"/>
              <w:left w:val="single" w:sz="4" w:space="0" w:color="FFFFFF"/>
              <w:bottom w:val="single" w:sz="4" w:space="0" w:color="FFFFFF"/>
            </w:tcBorders>
            <w:shd w:val="clear" w:color="auto" w:fill="auto"/>
          </w:tcPr>
          <w:p w:rsidR="00201219" w:rsidRPr="0082389A" w:rsidRDefault="00201219" w:rsidP="002F326F">
            <w:pPr>
              <w:spacing w:line="320" w:lineRule="exact"/>
              <w:ind w:leftChars="27" w:left="57" w:right="57" w:firstLineChars="100" w:firstLine="240"/>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#单位存款</w:t>
            </w:r>
          </w:p>
        </w:tc>
        <w:tc>
          <w:tcPr>
            <w:tcW w:w="2363" w:type="dxa"/>
            <w:tcBorders>
              <w:top w:val="single" w:sz="4" w:space="0" w:color="FFFFFF"/>
              <w:bottom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3124.56</w:t>
            </w:r>
          </w:p>
        </w:tc>
        <w:tc>
          <w:tcPr>
            <w:tcW w:w="2160"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-2.3</w:t>
            </w:r>
          </w:p>
        </w:tc>
      </w:tr>
      <w:tr w:rsidR="00201219" w:rsidRPr="00DA3617" w:rsidTr="0082389A">
        <w:trPr>
          <w:jc w:val="center"/>
        </w:trPr>
        <w:tc>
          <w:tcPr>
            <w:tcW w:w="2791" w:type="dxa"/>
            <w:tcBorders>
              <w:top w:val="single" w:sz="4" w:space="0" w:color="FFFFFF"/>
              <w:left w:val="single" w:sz="4" w:space="0" w:color="FFFFFF"/>
              <w:bottom w:val="single" w:sz="4" w:space="0" w:color="FFFFFF"/>
            </w:tcBorders>
            <w:shd w:val="clear" w:color="auto" w:fill="auto"/>
          </w:tcPr>
          <w:p w:rsidR="00201219" w:rsidRPr="0082389A" w:rsidRDefault="00201219" w:rsidP="002F326F">
            <w:pPr>
              <w:spacing w:line="320" w:lineRule="exact"/>
              <w:ind w:leftChars="27" w:left="57" w:right="57" w:firstLineChars="150" w:firstLine="360"/>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城乡居民储蓄存款</w:t>
            </w:r>
          </w:p>
        </w:tc>
        <w:tc>
          <w:tcPr>
            <w:tcW w:w="2363" w:type="dxa"/>
            <w:tcBorders>
              <w:top w:val="single" w:sz="4" w:space="0" w:color="FFFFFF"/>
              <w:bottom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3883.11</w:t>
            </w:r>
          </w:p>
        </w:tc>
        <w:tc>
          <w:tcPr>
            <w:tcW w:w="2160"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1.6</w:t>
            </w:r>
          </w:p>
        </w:tc>
      </w:tr>
      <w:tr w:rsidR="00201219" w:rsidRPr="00DA3617" w:rsidTr="0082389A">
        <w:trPr>
          <w:jc w:val="center"/>
        </w:trPr>
        <w:tc>
          <w:tcPr>
            <w:tcW w:w="2791" w:type="dxa"/>
            <w:tcBorders>
              <w:top w:val="single" w:sz="4" w:space="0" w:color="FFFFFF"/>
              <w:left w:val="single" w:sz="4" w:space="0" w:color="FFFFFF"/>
              <w:bottom w:val="single" w:sz="4" w:space="0" w:color="FFFFFF"/>
            </w:tcBorders>
            <w:shd w:val="clear" w:color="auto" w:fill="auto"/>
          </w:tcPr>
          <w:p w:rsidR="00201219" w:rsidRPr="0082389A" w:rsidRDefault="00201219" w:rsidP="002F326F">
            <w:pPr>
              <w:spacing w:line="320" w:lineRule="exact"/>
              <w:ind w:left="57" w:right="57"/>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各项贷款余额</w:t>
            </w:r>
          </w:p>
        </w:tc>
        <w:tc>
          <w:tcPr>
            <w:tcW w:w="2363" w:type="dxa"/>
            <w:tcBorders>
              <w:top w:val="single" w:sz="4" w:space="0" w:color="FFFFFF"/>
              <w:bottom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7223.63</w:t>
            </w:r>
          </w:p>
        </w:tc>
        <w:tc>
          <w:tcPr>
            <w:tcW w:w="2160"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1.9</w:t>
            </w:r>
          </w:p>
        </w:tc>
      </w:tr>
      <w:tr w:rsidR="00201219" w:rsidRPr="00DA3617" w:rsidTr="0082389A">
        <w:trPr>
          <w:jc w:val="center"/>
        </w:trPr>
        <w:tc>
          <w:tcPr>
            <w:tcW w:w="2791" w:type="dxa"/>
            <w:tcBorders>
              <w:top w:val="single" w:sz="4" w:space="0" w:color="FFFFFF"/>
              <w:left w:val="single" w:sz="4" w:space="0" w:color="FFFFFF"/>
              <w:bottom w:val="single" w:sz="4" w:space="0" w:color="FFFFFF"/>
            </w:tcBorders>
            <w:shd w:val="clear" w:color="auto" w:fill="auto"/>
          </w:tcPr>
          <w:p w:rsidR="00201219" w:rsidRPr="0082389A" w:rsidRDefault="00201219" w:rsidP="002F326F">
            <w:pPr>
              <w:spacing w:line="320" w:lineRule="exact"/>
              <w:ind w:leftChars="27" w:left="57" w:right="57" w:firstLineChars="100" w:firstLine="240"/>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#短期贷款</w:t>
            </w:r>
          </w:p>
        </w:tc>
        <w:tc>
          <w:tcPr>
            <w:tcW w:w="2363" w:type="dxa"/>
            <w:tcBorders>
              <w:top w:val="single" w:sz="4" w:space="0" w:color="FFFFFF"/>
              <w:bottom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5123.37</w:t>
            </w:r>
          </w:p>
        </w:tc>
        <w:tc>
          <w:tcPr>
            <w:tcW w:w="2160"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-6.8</w:t>
            </w:r>
          </w:p>
        </w:tc>
      </w:tr>
      <w:tr w:rsidR="00201219" w:rsidRPr="00DA3617" w:rsidTr="0082389A">
        <w:trPr>
          <w:jc w:val="center"/>
        </w:trPr>
        <w:tc>
          <w:tcPr>
            <w:tcW w:w="2791" w:type="dxa"/>
            <w:tcBorders>
              <w:top w:val="single" w:sz="4" w:space="0" w:color="FFFFFF"/>
              <w:left w:val="single" w:sz="4" w:space="0" w:color="FFFFFF"/>
              <w:bottom w:val="single" w:sz="12" w:space="0" w:color="000000"/>
            </w:tcBorders>
            <w:shd w:val="clear" w:color="auto" w:fill="auto"/>
          </w:tcPr>
          <w:p w:rsidR="00201219" w:rsidRPr="0082389A" w:rsidRDefault="00201219" w:rsidP="002F326F">
            <w:pPr>
              <w:spacing w:line="320" w:lineRule="exact"/>
              <w:ind w:leftChars="27" w:left="57" w:right="57" w:firstLineChars="150" w:firstLine="360"/>
              <w:rPr>
                <w:rFonts w:asciiTheme="minorEastAsia" w:eastAsiaTheme="minorEastAsia" w:hAnsiTheme="minorEastAsia" w:cs="宋体" w:hint="eastAsia"/>
                <w:color w:val="000000"/>
                <w:sz w:val="24"/>
              </w:rPr>
            </w:pPr>
            <w:r w:rsidRPr="0082389A">
              <w:rPr>
                <w:rFonts w:asciiTheme="minorEastAsia" w:eastAsiaTheme="minorEastAsia" w:hAnsiTheme="minorEastAsia" w:cs="宋体" w:hint="eastAsia"/>
                <w:color w:val="000000"/>
                <w:sz w:val="24"/>
              </w:rPr>
              <w:t>中长期贷款</w:t>
            </w:r>
          </w:p>
        </w:tc>
        <w:tc>
          <w:tcPr>
            <w:tcW w:w="2363" w:type="dxa"/>
            <w:tcBorders>
              <w:top w:val="single" w:sz="4" w:space="0" w:color="FFFFFF"/>
              <w:bottom w:val="single" w:sz="12" w:space="0" w:color="000000"/>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1925.69</w:t>
            </w:r>
          </w:p>
        </w:tc>
        <w:tc>
          <w:tcPr>
            <w:tcW w:w="2160" w:type="dxa"/>
            <w:tcBorders>
              <w:top w:val="single" w:sz="4" w:space="0" w:color="FFFFFF"/>
              <w:bottom w:val="single" w:sz="12" w:space="0" w:color="000000"/>
              <w:right w:val="single" w:sz="4" w:space="0" w:color="FFFFFF"/>
            </w:tcBorders>
            <w:shd w:val="clear" w:color="auto" w:fill="auto"/>
            <w:vAlign w:val="center"/>
          </w:tcPr>
          <w:p w:rsidR="00201219" w:rsidRPr="0082389A" w:rsidRDefault="00201219" w:rsidP="002F326F">
            <w:pPr>
              <w:ind w:rightChars="300" w:right="630"/>
              <w:jc w:val="right"/>
              <w:rPr>
                <w:rFonts w:asciiTheme="minorEastAsia" w:eastAsiaTheme="minorEastAsia" w:hAnsiTheme="minorEastAsia" w:cs="宋体" w:hint="eastAsia"/>
                <w:color w:val="000000"/>
                <w:kern w:val="0"/>
                <w:sz w:val="24"/>
              </w:rPr>
            </w:pPr>
            <w:r w:rsidRPr="0082389A">
              <w:rPr>
                <w:rFonts w:asciiTheme="minorEastAsia" w:eastAsiaTheme="minorEastAsia" w:hAnsiTheme="minorEastAsia" w:cs="宋体" w:hint="eastAsia"/>
                <w:color w:val="000000"/>
                <w:kern w:val="0"/>
                <w:sz w:val="24"/>
              </w:rPr>
              <w:t>30.6</w:t>
            </w:r>
          </w:p>
        </w:tc>
      </w:tr>
    </w:tbl>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lastRenderedPageBreak/>
        <w:t>全年通过债权、股权等直接融资形式获得资金219.7亿元。年末，全市拥有村镇银行7家，境内外上市企业14家，已开业民间借贷服务中心7家，民间资本管理公司12家；小额贷款公司45家，注册资本金109.4亿元。</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color w:val="000000"/>
          <w:sz w:val="32"/>
          <w:szCs w:val="32"/>
        </w:rPr>
        <w:t>全年全市证券成交总额</w:t>
      </w:r>
      <w:r w:rsidRPr="00201219">
        <w:rPr>
          <w:rFonts w:ascii="仿宋_GB2312" w:eastAsia="仿宋_GB2312" w:hint="eastAsia"/>
          <w:color w:val="000000"/>
          <w:sz w:val="32"/>
          <w:szCs w:val="32"/>
        </w:rPr>
        <w:t>14660.43</w:t>
      </w:r>
      <w:r w:rsidRPr="00201219">
        <w:rPr>
          <w:rFonts w:ascii="仿宋_GB2312" w:eastAsia="仿宋_GB2312"/>
          <w:color w:val="000000"/>
          <w:sz w:val="32"/>
          <w:szCs w:val="32"/>
        </w:rPr>
        <w:t>亿元，比上年</w:t>
      </w:r>
      <w:r w:rsidRPr="00201219">
        <w:rPr>
          <w:rFonts w:ascii="仿宋_GB2312" w:eastAsia="仿宋_GB2312" w:hint="eastAsia"/>
          <w:color w:val="000000"/>
          <w:sz w:val="32"/>
          <w:szCs w:val="32"/>
        </w:rPr>
        <w:t>增长72.5％</w:t>
      </w:r>
      <w:r w:rsidRPr="00201219">
        <w:rPr>
          <w:rFonts w:ascii="仿宋_GB2312" w:eastAsia="仿宋_GB2312"/>
          <w:color w:val="000000"/>
          <w:sz w:val="32"/>
          <w:szCs w:val="32"/>
        </w:rPr>
        <w:t>。其中股</w:t>
      </w:r>
      <w:r w:rsidRPr="00201219">
        <w:rPr>
          <w:rFonts w:ascii="仿宋_GB2312" w:eastAsia="仿宋_GB2312" w:hint="eastAsia"/>
          <w:color w:val="000000"/>
          <w:sz w:val="32"/>
          <w:szCs w:val="32"/>
        </w:rPr>
        <w:t>票交易额11579.80亿元，增长38.3％；基金交易额226.98亿元，增长94.3％</w:t>
      </w:r>
      <w:r w:rsidRPr="00201219">
        <w:rPr>
          <w:rFonts w:ascii="仿宋_GB2312" w:eastAsia="仿宋_GB2312"/>
          <w:color w:val="000000"/>
          <w:sz w:val="32"/>
          <w:szCs w:val="32"/>
        </w:rPr>
        <w:t>。年末证券投资者开户</w:t>
      </w:r>
      <w:r w:rsidRPr="00201219">
        <w:rPr>
          <w:rFonts w:ascii="仿宋_GB2312" w:eastAsia="仿宋_GB2312" w:hint="eastAsia"/>
          <w:color w:val="000000"/>
          <w:sz w:val="32"/>
          <w:szCs w:val="32"/>
        </w:rPr>
        <w:t>数74.71</w:t>
      </w:r>
      <w:r w:rsidRPr="00201219">
        <w:rPr>
          <w:rFonts w:ascii="仿宋_GB2312" w:eastAsia="仿宋_GB2312"/>
          <w:color w:val="000000"/>
          <w:sz w:val="32"/>
          <w:szCs w:val="32"/>
        </w:rPr>
        <w:t>万户，增长</w:t>
      </w:r>
      <w:r w:rsidRPr="00201219">
        <w:rPr>
          <w:rFonts w:ascii="仿宋_GB2312" w:eastAsia="仿宋_GB2312" w:hint="eastAsia"/>
          <w:color w:val="000000"/>
          <w:sz w:val="32"/>
          <w:szCs w:val="32"/>
        </w:rPr>
        <w:t>10.2％</w:t>
      </w:r>
      <w:r w:rsidRPr="00201219">
        <w:rPr>
          <w:rFonts w:ascii="仿宋_GB2312" w:eastAsia="仿宋_GB2312"/>
          <w:color w:val="000000"/>
          <w:sz w:val="32"/>
          <w:szCs w:val="32"/>
        </w:rPr>
        <w:t>。</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全年保险业保费收入144.77亿元，比上年增长10.4%。其中人身险保费收入82.01亿元，增长6.6%；财产险保费收入62.75亿元，增长15.7%。</w:t>
      </w:r>
      <w:r w:rsidRPr="00201219">
        <w:rPr>
          <w:rFonts w:ascii="仿宋_GB2312" w:eastAsia="仿宋_GB2312"/>
          <w:color w:val="000000"/>
          <w:sz w:val="32"/>
          <w:szCs w:val="32"/>
        </w:rPr>
        <w:t>支付各类赔款及给付</w:t>
      </w:r>
      <w:r w:rsidRPr="00201219">
        <w:rPr>
          <w:rFonts w:ascii="仿宋_GB2312" w:eastAsia="仿宋_GB2312" w:hint="eastAsia"/>
          <w:color w:val="000000"/>
          <w:sz w:val="32"/>
          <w:szCs w:val="32"/>
        </w:rPr>
        <w:t>46.07亿元，比上年增长2.0%，其中人身险赔款11.44亿元，增长6.8%；财产险赔款34.63亿元，增长0.5%。</w:t>
      </w:r>
    </w:p>
    <w:p w:rsidR="00201219" w:rsidRPr="00201219" w:rsidRDefault="00201219" w:rsidP="00201219">
      <w:pPr>
        <w:spacing w:line="600" w:lineRule="exact"/>
        <w:ind w:firstLineChars="200" w:firstLine="600"/>
        <w:rPr>
          <w:rFonts w:eastAsia="仿宋_GB2312" w:hint="eastAsia"/>
          <w:color w:val="000000"/>
          <w:sz w:val="30"/>
          <w:szCs w:val="30"/>
        </w:rPr>
      </w:pPr>
    </w:p>
    <w:p w:rsidR="00201219" w:rsidRPr="00201219" w:rsidRDefault="00201219" w:rsidP="00201219">
      <w:pPr>
        <w:spacing w:line="600" w:lineRule="exact"/>
        <w:jc w:val="center"/>
        <w:rPr>
          <w:rFonts w:eastAsia="黑体" w:hint="eastAsia"/>
          <w:color w:val="000000"/>
          <w:sz w:val="32"/>
        </w:rPr>
      </w:pPr>
      <w:r w:rsidRPr="00201219">
        <w:rPr>
          <w:rFonts w:eastAsia="黑体" w:hint="eastAsia"/>
          <w:color w:val="000000"/>
          <w:sz w:val="32"/>
        </w:rPr>
        <w:t>九、教育和科学技术</w:t>
      </w:r>
    </w:p>
    <w:p w:rsidR="00201219" w:rsidRPr="00201219" w:rsidRDefault="00201219" w:rsidP="00201219">
      <w:pPr>
        <w:spacing w:line="600" w:lineRule="exact"/>
        <w:ind w:firstLineChars="200" w:firstLine="600"/>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各类全日制学校在校学生143.99万人，占户籍总人口17.7％。全市拥有普通高等学校8所，全年招生24252人，全国普通高校在温录取新生37553人。初中毕业生升入高中阶段比例97.60％，其中初中毕业生升入普通高中比例58.95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91"/>
        <w:gridCol w:w="2093"/>
        <w:gridCol w:w="2094"/>
      </w:tblGrid>
      <w:tr w:rsidR="00201219" w:rsidRPr="00450C87" w:rsidTr="0082389A">
        <w:trPr>
          <w:jc w:val="center"/>
        </w:trPr>
        <w:tc>
          <w:tcPr>
            <w:tcW w:w="8522" w:type="dxa"/>
            <w:gridSpan w:val="4"/>
            <w:tcBorders>
              <w:top w:val="single" w:sz="4" w:space="0" w:color="FFFFFF"/>
              <w:left w:val="single" w:sz="4" w:space="0" w:color="FFFFFF"/>
              <w:bottom w:val="single" w:sz="12" w:space="0" w:color="000000"/>
              <w:right w:val="single" w:sz="4" w:space="0" w:color="FFFFFF"/>
            </w:tcBorders>
            <w:shd w:val="clear" w:color="auto" w:fill="auto"/>
          </w:tcPr>
          <w:p w:rsidR="00201219" w:rsidRPr="0082389A" w:rsidRDefault="00201219" w:rsidP="0082389A">
            <w:pPr>
              <w:spacing w:line="400" w:lineRule="exact"/>
              <w:ind w:firstLineChars="147" w:firstLine="412"/>
              <w:rPr>
                <w:rFonts w:ascii="黑体" w:eastAsia="黑体" w:hAnsi="黑体" w:cs="宋体" w:hint="eastAsia"/>
                <w:color w:val="000000"/>
                <w:kern w:val="0"/>
                <w:sz w:val="28"/>
                <w:szCs w:val="28"/>
                <w:highlight w:val="yellow"/>
              </w:rPr>
            </w:pPr>
            <w:r w:rsidRPr="0082389A">
              <w:rPr>
                <w:rFonts w:ascii="黑体" w:eastAsia="黑体" w:hAnsi="黑体" w:cs="宋体" w:hint="eastAsia"/>
                <w:color w:val="000000"/>
                <w:kern w:val="0"/>
                <w:sz w:val="28"/>
                <w:szCs w:val="28"/>
              </w:rPr>
              <w:t xml:space="preserve">表7        </w:t>
            </w:r>
            <w:r w:rsidR="0082389A">
              <w:rPr>
                <w:rFonts w:ascii="黑体" w:eastAsia="黑体" w:hAnsi="黑体" w:cs="宋体"/>
                <w:color w:val="000000"/>
                <w:kern w:val="0"/>
                <w:sz w:val="28"/>
                <w:szCs w:val="28"/>
              </w:rPr>
              <w:t xml:space="preserve">   </w:t>
            </w:r>
            <w:r w:rsidRPr="0082389A">
              <w:rPr>
                <w:rFonts w:ascii="黑体" w:eastAsia="黑体" w:hAnsi="黑体" w:cs="宋体" w:hint="eastAsia"/>
                <w:color w:val="000000"/>
                <w:kern w:val="0"/>
                <w:sz w:val="28"/>
                <w:szCs w:val="28"/>
              </w:rPr>
              <w:t>2014年各类学校基本情况</w:t>
            </w:r>
          </w:p>
        </w:tc>
      </w:tr>
      <w:tr w:rsidR="00201219" w:rsidRPr="0041669F" w:rsidTr="0082389A">
        <w:trPr>
          <w:jc w:val="center"/>
        </w:trPr>
        <w:tc>
          <w:tcPr>
            <w:tcW w:w="2130" w:type="dxa"/>
            <w:tcBorders>
              <w:top w:val="single" w:sz="12" w:space="0" w:color="000000"/>
              <w:left w:val="single" w:sz="4" w:space="0" w:color="FFFFFF"/>
              <w:bottom w:val="single" w:sz="2" w:space="0" w:color="000000"/>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指</w:t>
            </w:r>
            <w:r w:rsidRPr="0082389A">
              <w:rPr>
                <w:rFonts w:asciiTheme="minorEastAsia" w:eastAsiaTheme="minorEastAsia" w:hAnsiTheme="minorEastAsia" w:hint="eastAsia"/>
                <w:color w:val="000000"/>
                <w:kern w:val="0"/>
                <w:sz w:val="24"/>
              </w:rPr>
              <w:t xml:space="preserve">   </w:t>
            </w:r>
            <w:r w:rsidRPr="0082389A">
              <w:rPr>
                <w:rFonts w:asciiTheme="minorEastAsia" w:eastAsiaTheme="minorEastAsia" w:hAnsiTheme="minorEastAsia" w:cs="宋体" w:hint="eastAsia"/>
                <w:color w:val="000000"/>
                <w:kern w:val="0"/>
                <w:sz w:val="24"/>
              </w:rPr>
              <w:t>标</w:t>
            </w:r>
          </w:p>
        </w:tc>
        <w:tc>
          <w:tcPr>
            <w:tcW w:w="2130" w:type="dxa"/>
            <w:tcBorders>
              <w:top w:val="single" w:sz="12" w:space="0" w:color="000000"/>
              <w:bottom w:val="single" w:sz="2" w:space="0" w:color="000000"/>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学校数（所）</w:t>
            </w:r>
          </w:p>
        </w:tc>
        <w:tc>
          <w:tcPr>
            <w:tcW w:w="2131" w:type="dxa"/>
            <w:tcBorders>
              <w:top w:val="single" w:sz="12" w:space="0" w:color="000000"/>
              <w:bottom w:val="single" w:sz="2" w:space="0" w:color="000000"/>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专任教师数（人）</w:t>
            </w:r>
          </w:p>
        </w:tc>
        <w:tc>
          <w:tcPr>
            <w:tcW w:w="2131" w:type="dxa"/>
            <w:tcBorders>
              <w:top w:val="single" w:sz="12" w:space="0" w:color="000000"/>
              <w:bottom w:val="single" w:sz="2" w:space="0" w:color="000000"/>
              <w:right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在校学生数（人）</w:t>
            </w:r>
          </w:p>
        </w:tc>
      </w:tr>
      <w:tr w:rsidR="00201219" w:rsidRPr="00450C87" w:rsidTr="0082389A">
        <w:trPr>
          <w:jc w:val="center"/>
        </w:trPr>
        <w:tc>
          <w:tcPr>
            <w:tcW w:w="2130" w:type="dxa"/>
            <w:tcBorders>
              <w:top w:val="single" w:sz="2" w:space="0" w:color="000000"/>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lastRenderedPageBreak/>
              <w:t xml:space="preserve"> 普通高校</w:t>
            </w:r>
          </w:p>
        </w:tc>
        <w:tc>
          <w:tcPr>
            <w:tcW w:w="2130" w:type="dxa"/>
            <w:tcBorders>
              <w:top w:val="single" w:sz="2" w:space="0" w:color="000000"/>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8</w:t>
            </w:r>
          </w:p>
        </w:tc>
        <w:tc>
          <w:tcPr>
            <w:tcW w:w="2131" w:type="dxa"/>
            <w:tcBorders>
              <w:top w:val="single" w:sz="2" w:space="0" w:color="000000"/>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5057</w:t>
            </w:r>
          </w:p>
        </w:tc>
        <w:tc>
          <w:tcPr>
            <w:tcW w:w="2131" w:type="dxa"/>
            <w:tcBorders>
              <w:top w:val="single" w:sz="2" w:space="0" w:color="000000"/>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81612</w:t>
            </w:r>
          </w:p>
        </w:tc>
      </w:tr>
      <w:tr w:rsidR="00201219" w:rsidRPr="00450C87"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普通中专</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2</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104</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2275</w:t>
            </w:r>
          </w:p>
        </w:tc>
      </w:tr>
      <w:tr w:rsidR="00201219" w:rsidRPr="00450C87"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成人中专</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2</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79</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803</w:t>
            </w:r>
          </w:p>
        </w:tc>
      </w:tr>
      <w:tr w:rsidR="00201219" w:rsidRPr="00450C87"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职业高中</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hint="eastAsia"/>
                <w:color w:val="000000"/>
                <w:kern w:val="0"/>
                <w:sz w:val="24"/>
                <w:highlight w:val="yellow"/>
              </w:rPr>
            </w:pPr>
            <w:r w:rsidRPr="0082389A">
              <w:rPr>
                <w:rFonts w:asciiTheme="minorEastAsia" w:eastAsiaTheme="minorEastAsia" w:hAnsiTheme="minorEastAsia" w:cs="宋体" w:hint="eastAsia"/>
                <w:color w:val="000000"/>
                <w:kern w:val="0"/>
                <w:sz w:val="24"/>
              </w:rPr>
              <w:t>41</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4009</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56904</w:t>
            </w:r>
          </w:p>
        </w:tc>
      </w:tr>
      <w:tr w:rsidR="00201219" w:rsidRPr="00450C87"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普通高中</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107</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10456</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124950</w:t>
            </w:r>
          </w:p>
        </w:tc>
      </w:tr>
      <w:tr w:rsidR="00201219" w:rsidRPr="00450C87"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普通初中</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357</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bookmarkStart w:id="3" w:name="_GoBack"/>
            <w:bookmarkEnd w:id="3"/>
            <w:r w:rsidRPr="0082389A">
              <w:rPr>
                <w:rFonts w:asciiTheme="minorEastAsia" w:eastAsiaTheme="minorEastAsia" w:hAnsiTheme="minorEastAsia" w:cs="宋体"/>
                <w:color w:val="000000"/>
                <w:kern w:val="0"/>
                <w:sz w:val="24"/>
              </w:rPr>
              <w:t>20759</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242180</w:t>
            </w:r>
          </w:p>
        </w:tc>
      </w:tr>
      <w:tr w:rsidR="00201219" w:rsidRPr="00450C87" w:rsidTr="0082389A">
        <w:trPr>
          <w:trHeight w:val="359"/>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小    学</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568</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33561</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621082</w:t>
            </w:r>
          </w:p>
        </w:tc>
      </w:tr>
      <w:tr w:rsidR="00201219" w:rsidRPr="006F454E" w:rsidTr="0082389A">
        <w:trPr>
          <w:jc w:val="center"/>
        </w:trPr>
        <w:tc>
          <w:tcPr>
            <w:tcW w:w="2130" w:type="dxa"/>
            <w:tcBorders>
              <w:top w:val="single" w:sz="4" w:space="0" w:color="FFFFFF"/>
              <w:left w:val="single" w:sz="4" w:space="0" w:color="FFFFFF"/>
              <w:bottom w:val="single" w:sz="4" w:space="0" w:color="FFFFFF"/>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 xml:space="preserve"> 特殊教育</w:t>
            </w:r>
          </w:p>
        </w:tc>
        <w:tc>
          <w:tcPr>
            <w:tcW w:w="2130"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8</w:t>
            </w:r>
          </w:p>
        </w:tc>
        <w:tc>
          <w:tcPr>
            <w:tcW w:w="2131" w:type="dxa"/>
            <w:tcBorders>
              <w:top w:val="single" w:sz="4" w:space="0" w:color="FFFFFF"/>
              <w:bottom w:val="single" w:sz="4" w:space="0" w:color="FFFFFF"/>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color w:val="000000"/>
                <w:kern w:val="0"/>
                <w:sz w:val="24"/>
              </w:rPr>
              <w:t>367</w:t>
            </w:r>
          </w:p>
        </w:tc>
        <w:tc>
          <w:tcPr>
            <w:tcW w:w="2131" w:type="dxa"/>
            <w:tcBorders>
              <w:top w:val="single" w:sz="4" w:space="0" w:color="FFFFFF"/>
              <w:bottom w:val="single" w:sz="4" w:space="0" w:color="FFFFFF"/>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rPr>
            </w:pPr>
            <w:r w:rsidRPr="0082389A">
              <w:rPr>
                <w:rFonts w:asciiTheme="minorEastAsia" w:eastAsiaTheme="minorEastAsia" w:hAnsiTheme="minorEastAsia" w:cs="宋体" w:hint="eastAsia"/>
                <w:color w:val="000000"/>
                <w:kern w:val="0"/>
                <w:sz w:val="24"/>
              </w:rPr>
              <w:t>3101</w:t>
            </w:r>
          </w:p>
        </w:tc>
      </w:tr>
      <w:tr w:rsidR="00201219" w:rsidRPr="00450C87" w:rsidTr="0082389A">
        <w:trPr>
          <w:jc w:val="center"/>
        </w:trPr>
        <w:tc>
          <w:tcPr>
            <w:tcW w:w="2130" w:type="dxa"/>
            <w:tcBorders>
              <w:top w:val="single" w:sz="4" w:space="0" w:color="FFFFFF"/>
              <w:left w:val="single" w:sz="4" w:space="0" w:color="FFFFFF"/>
              <w:bottom w:val="single" w:sz="12" w:space="0" w:color="000000"/>
            </w:tcBorders>
            <w:shd w:val="clear" w:color="auto" w:fill="auto"/>
            <w:vAlign w:val="center"/>
          </w:tcPr>
          <w:p w:rsidR="00201219" w:rsidRPr="0082389A" w:rsidRDefault="00201219" w:rsidP="0082389A">
            <w:pPr>
              <w:spacing w:line="400" w:lineRule="exact"/>
              <w:jc w:val="center"/>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 xml:space="preserve"> 幼 儿 园</w:t>
            </w:r>
          </w:p>
        </w:tc>
        <w:tc>
          <w:tcPr>
            <w:tcW w:w="2130" w:type="dxa"/>
            <w:tcBorders>
              <w:top w:val="single" w:sz="4" w:space="0" w:color="FFFFFF"/>
              <w:bottom w:val="single" w:sz="12" w:space="0" w:color="000000"/>
            </w:tcBorders>
            <w:shd w:val="clear" w:color="auto" w:fill="auto"/>
            <w:vAlign w:val="center"/>
          </w:tcPr>
          <w:p w:rsidR="00201219" w:rsidRPr="0082389A" w:rsidRDefault="00201219" w:rsidP="0082389A">
            <w:pPr>
              <w:spacing w:line="400" w:lineRule="exact"/>
              <w:ind w:rightChars="400" w:right="84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1528</w:t>
            </w:r>
          </w:p>
        </w:tc>
        <w:tc>
          <w:tcPr>
            <w:tcW w:w="2131" w:type="dxa"/>
            <w:tcBorders>
              <w:top w:val="single" w:sz="4" w:space="0" w:color="FFFFFF"/>
              <w:bottom w:val="single" w:sz="12" w:space="0" w:color="000000"/>
            </w:tcBorders>
            <w:shd w:val="clear" w:color="auto" w:fill="auto"/>
            <w:vAlign w:val="center"/>
          </w:tcPr>
          <w:p w:rsidR="00201219" w:rsidRPr="0082389A" w:rsidRDefault="00201219" w:rsidP="0082389A">
            <w:pPr>
              <w:spacing w:line="400" w:lineRule="exact"/>
              <w:ind w:rightChars="350" w:right="735"/>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color w:val="000000"/>
                <w:kern w:val="0"/>
                <w:sz w:val="24"/>
              </w:rPr>
              <w:t>20262</w:t>
            </w:r>
          </w:p>
        </w:tc>
        <w:tc>
          <w:tcPr>
            <w:tcW w:w="2131" w:type="dxa"/>
            <w:tcBorders>
              <w:top w:val="single" w:sz="4" w:space="0" w:color="FFFFFF"/>
              <w:bottom w:val="single" w:sz="12" w:space="0" w:color="000000"/>
              <w:right w:val="single" w:sz="4" w:space="0" w:color="FFFFFF"/>
            </w:tcBorders>
            <w:shd w:val="clear" w:color="auto" w:fill="auto"/>
            <w:vAlign w:val="center"/>
          </w:tcPr>
          <w:p w:rsidR="00201219" w:rsidRPr="0082389A" w:rsidRDefault="00201219" w:rsidP="0082389A">
            <w:pPr>
              <w:spacing w:line="400" w:lineRule="exact"/>
              <w:ind w:rightChars="300" w:right="630"/>
              <w:jc w:val="right"/>
              <w:rPr>
                <w:rFonts w:asciiTheme="minorEastAsia" w:eastAsiaTheme="minorEastAsia" w:hAnsiTheme="minorEastAsia" w:cs="宋体"/>
                <w:color w:val="000000"/>
                <w:kern w:val="0"/>
                <w:sz w:val="24"/>
                <w:highlight w:val="yellow"/>
              </w:rPr>
            </w:pPr>
            <w:r w:rsidRPr="0082389A">
              <w:rPr>
                <w:rFonts w:asciiTheme="minorEastAsia" w:eastAsiaTheme="minorEastAsia" w:hAnsiTheme="minorEastAsia" w:cs="宋体" w:hint="eastAsia"/>
                <w:color w:val="000000"/>
                <w:kern w:val="0"/>
                <w:sz w:val="24"/>
              </w:rPr>
              <w:t>308047</w:t>
            </w:r>
          </w:p>
        </w:tc>
      </w:tr>
    </w:tbl>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全市教学仪器设备达标学校比例97.0％，生均图书增加2.71册；中小学校园网建有率达99.2%，学校网站建设率达95.1%，多媒体教室配备率100％。全年新建中小学校舍</w:t>
      </w:r>
      <w:r w:rsidRPr="00201219">
        <w:rPr>
          <w:rFonts w:ascii="仿宋_GB2312" w:eastAsia="仿宋_GB2312"/>
          <w:color w:val="000000"/>
          <w:sz w:val="32"/>
          <w:szCs w:val="32"/>
        </w:rPr>
        <w:t>42.87</w:t>
      </w:r>
      <w:r w:rsidRPr="00201219">
        <w:rPr>
          <w:rFonts w:ascii="仿宋_GB2312" w:eastAsia="仿宋_GB2312" w:hint="eastAsia"/>
          <w:color w:val="000000"/>
          <w:sz w:val="32"/>
          <w:szCs w:val="32"/>
        </w:rPr>
        <w:t>万平方米。年末各类学校校舍总面积1649万平方米，其中普通高校267.12万平方米。</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全市拥有国家级科技创业服务中心2个、省级科技创业服务中心5个；国家级大学科技园1家，国家级火炬计划特色产业基地3个、省级高新技术特色产业基地9个；国家级企业技术中心5家，省级企业重点研究院4家、省级企业研究院21家，省级高新技术企业研发中心202家、市级企业研发中心398家；省级创新型试点城市（县、区）4个、科技强县6个。全年新增高新技术企业113家，累计637家，新增省级科技型中小企业630家，累计1832家；市级以上科技企业孵化器14家。全年专利授权24371项，其中发明专利授权954件，同比增长39.7%；年末国家知识产权示范和优势企业5家、省级专利示范企业98家。年末全市有国家级企业博士后科研工作站12家，省级15家，市级试点站</w:t>
      </w:r>
      <w:r w:rsidRPr="00201219">
        <w:rPr>
          <w:rFonts w:ascii="仿宋_GB2312" w:eastAsia="仿宋_GB2312" w:hint="eastAsia"/>
          <w:color w:val="000000"/>
          <w:sz w:val="32"/>
          <w:szCs w:val="32"/>
        </w:rPr>
        <w:lastRenderedPageBreak/>
        <w:t>14家。</w:t>
      </w:r>
    </w:p>
    <w:p w:rsidR="00201219" w:rsidRPr="00201219" w:rsidRDefault="00201219" w:rsidP="00201219">
      <w:pPr>
        <w:spacing w:line="600" w:lineRule="exact"/>
        <w:jc w:val="center"/>
        <w:rPr>
          <w:rFonts w:eastAsia="黑体" w:hint="eastAsia"/>
          <w:color w:val="000000"/>
          <w:sz w:val="32"/>
        </w:rPr>
      </w:pPr>
    </w:p>
    <w:p w:rsidR="00201219" w:rsidRPr="00201219" w:rsidRDefault="00201219" w:rsidP="00201219">
      <w:pPr>
        <w:spacing w:line="600" w:lineRule="exact"/>
        <w:jc w:val="center"/>
        <w:rPr>
          <w:rFonts w:eastAsia="黑体" w:hint="eastAsia"/>
          <w:color w:val="000000"/>
          <w:sz w:val="32"/>
        </w:rPr>
      </w:pPr>
      <w:r w:rsidRPr="00201219">
        <w:rPr>
          <w:rFonts w:eastAsia="黑体" w:hint="eastAsia"/>
          <w:color w:val="000000"/>
          <w:sz w:val="32"/>
        </w:rPr>
        <w:t>十、文化、卫生和体育</w:t>
      </w:r>
    </w:p>
    <w:p w:rsidR="00201219" w:rsidRPr="00201219" w:rsidRDefault="00201219" w:rsidP="00201219">
      <w:pPr>
        <w:spacing w:line="600" w:lineRule="exact"/>
        <w:jc w:val="center"/>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年末全市共有文化站130个，文化馆12个，公共图书馆13个，博物馆（包括民营）38个，艺术表演团体8个，电影放映单位39个。全年艺术团体演出965场次；院</w:t>
      </w:r>
      <w:proofErr w:type="gramStart"/>
      <w:r w:rsidRPr="00201219">
        <w:rPr>
          <w:rFonts w:ascii="仿宋_GB2312" w:eastAsia="仿宋_GB2312" w:hint="eastAsia"/>
          <w:color w:val="000000"/>
          <w:sz w:val="32"/>
          <w:szCs w:val="32"/>
        </w:rPr>
        <w:t>线电影</w:t>
      </w:r>
      <w:proofErr w:type="gramEnd"/>
      <w:r w:rsidRPr="00201219">
        <w:rPr>
          <w:rFonts w:ascii="仿宋_GB2312" w:eastAsia="仿宋_GB2312" w:hint="eastAsia"/>
          <w:color w:val="000000"/>
          <w:sz w:val="32"/>
          <w:szCs w:val="32"/>
        </w:rPr>
        <w:t>放映36.90万场次，观众601.19万人次；农村数字电影放映5.14万场次，观众743.55万人次。年末拥有国家级非物质文化遗产数量35个，省级非物质文化遗产数量136个，市级非物质文化遗产数量770个。公共图书馆藏书1644万册（件），年总流通量733.55万人次。全市广播综合人口覆盖率98.6％，电视综合人口覆盖率98.9％，有线电视用户227.94万户。</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bookmarkStart w:id="4" w:name="OLE_LINK10"/>
      <w:r w:rsidRPr="00201219">
        <w:rPr>
          <w:rFonts w:ascii="仿宋_GB2312" w:eastAsia="仿宋_GB2312" w:hint="eastAsia"/>
          <w:color w:val="000000"/>
          <w:sz w:val="32"/>
          <w:szCs w:val="32"/>
        </w:rPr>
        <w:t>全市有医疗卫生机构5384家，其中医院129家，卫生院（社区服务中心）262家，村卫生室2556家，各类诊所（卫生所、医务室）1652家。年末有各类卫生技术人员51448人，其中医生21855人，平均每万户籍人口有医生26.88人。全市医疗机构病床31464张，平均每万人有病床38.67张。全年医疗机构诊疗病人6490万人次。全市城乡居民基本医疗保障</w:t>
      </w:r>
      <w:proofErr w:type="gramStart"/>
      <w:r w:rsidRPr="00201219">
        <w:rPr>
          <w:rFonts w:ascii="仿宋_GB2312" w:eastAsia="仿宋_GB2312" w:hint="eastAsia"/>
          <w:color w:val="000000"/>
          <w:sz w:val="32"/>
          <w:szCs w:val="32"/>
        </w:rPr>
        <w:t>全年门</w:t>
      </w:r>
      <w:proofErr w:type="gramEnd"/>
      <w:r w:rsidRPr="00201219">
        <w:rPr>
          <w:rFonts w:ascii="仿宋_GB2312" w:eastAsia="仿宋_GB2312" w:hint="eastAsia"/>
          <w:color w:val="000000"/>
          <w:sz w:val="32"/>
          <w:szCs w:val="32"/>
        </w:rPr>
        <w:t>急诊（含门诊大病）就诊人次2137.34万人次，统筹基金支付7.03亿元；住院人次56.13万人次，统筹基金支付36.74亿元。</w:t>
      </w:r>
    </w:p>
    <w:bookmarkEnd w:id="4"/>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lastRenderedPageBreak/>
        <w:t>全市有公共体育场馆36个，独立设置的业余体校9所，各类公共体育设施和</w:t>
      </w:r>
      <w:proofErr w:type="gramStart"/>
      <w:r w:rsidRPr="00201219">
        <w:rPr>
          <w:rFonts w:ascii="仿宋_GB2312" w:eastAsia="仿宋_GB2312" w:hint="eastAsia"/>
          <w:color w:val="000000"/>
          <w:sz w:val="32"/>
          <w:szCs w:val="32"/>
        </w:rPr>
        <w:t>健身苑点14052个</w:t>
      </w:r>
      <w:proofErr w:type="gramEnd"/>
      <w:r w:rsidRPr="00201219">
        <w:rPr>
          <w:rFonts w:ascii="仿宋_GB2312" w:eastAsia="仿宋_GB2312" w:hint="eastAsia"/>
          <w:color w:val="000000"/>
          <w:sz w:val="32"/>
          <w:szCs w:val="32"/>
        </w:rPr>
        <w:t>。全年我市运动员在全国以上比赛获得奖牌107枚，其中世界冠军6枚，亚洲冠军5枚，全国冠军45枚。全年全市共有9个乡镇通过省级体育强镇的检查验收，累计119个；累计省级体育强县11个，比上年增加1个。全年发行体育彩票15.93亿元，比上年增长3.4％。</w:t>
      </w:r>
    </w:p>
    <w:p w:rsidR="00201219" w:rsidRPr="00201219" w:rsidRDefault="00201219" w:rsidP="00201219">
      <w:pPr>
        <w:spacing w:line="600" w:lineRule="exact"/>
        <w:ind w:firstLineChars="200" w:firstLine="600"/>
        <w:rPr>
          <w:rFonts w:eastAsia="仿宋_GB2312" w:hint="eastAsia"/>
          <w:color w:val="000000"/>
          <w:sz w:val="30"/>
          <w:szCs w:val="30"/>
        </w:rPr>
      </w:pPr>
    </w:p>
    <w:p w:rsidR="00201219" w:rsidRPr="00201219" w:rsidRDefault="00201219" w:rsidP="00201219">
      <w:pPr>
        <w:spacing w:line="600" w:lineRule="exact"/>
        <w:jc w:val="center"/>
        <w:rPr>
          <w:rFonts w:eastAsia="黑体" w:cs="宋体" w:hint="eastAsia"/>
          <w:color w:val="000000"/>
          <w:kern w:val="0"/>
          <w:sz w:val="32"/>
          <w:szCs w:val="32"/>
        </w:rPr>
      </w:pPr>
      <w:r w:rsidRPr="00201219">
        <w:rPr>
          <w:rFonts w:eastAsia="黑体" w:cs="宋体" w:hint="eastAsia"/>
          <w:color w:val="000000"/>
          <w:kern w:val="0"/>
          <w:sz w:val="32"/>
          <w:szCs w:val="32"/>
        </w:rPr>
        <w:t>十一、人口、人民生活和社会保障</w:t>
      </w:r>
    </w:p>
    <w:p w:rsidR="00201219" w:rsidRPr="00201219" w:rsidRDefault="00201219" w:rsidP="00201219">
      <w:pPr>
        <w:spacing w:line="600" w:lineRule="exact"/>
        <w:ind w:firstLineChars="200" w:firstLine="600"/>
        <w:rPr>
          <w:rFonts w:eastAsia="仿宋_GB2312" w:cs="宋体" w:hint="eastAsia"/>
          <w:color w:val="000000"/>
          <w:kern w:val="0"/>
          <w:sz w:val="30"/>
          <w:szCs w:val="30"/>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全市户籍总人口813.69万人，其中市区人口152.45万人。从性别看，男性人口422.26万人，女性人口391.43万人，分别占总人口的51.9％和48.1％。年末全市常住人口为906.8万人，比上年减少12.9万人。全市当年计划生育率为85.1％，已婚育龄妇女综合节育率为83.8％，按卫生计生委统计，出生人口性别比为114.96。</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年城镇常住居民人均可支配收入40510元，增长8.7％；城镇居民人均消费性支出27186元，增长7.2％，其中食品烟酒类支出8432元，占31.0％。全年农村常住居民人均可支配收入19394元，增长10.5％；农村居民人均生活费支出14218元，增长12.7％，其中食品烟酒类支出5358元，占37.7％。城镇居民人均住房建筑面积42.10平方米；农村居民人均居住面积42.14平方米。年末每百户城镇居民家用汽</w:t>
      </w:r>
      <w:r w:rsidRPr="00201219">
        <w:rPr>
          <w:rFonts w:ascii="仿宋_GB2312" w:eastAsia="仿宋_GB2312" w:hint="eastAsia"/>
          <w:color w:val="000000"/>
          <w:sz w:val="32"/>
          <w:szCs w:val="32"/>
        </w:rPr>
        <w:lastRenderedPageBreak/>
        <w:t>车拥有量45.2辆；每百户农村居民家用汽车拥有量22.4辆。</w:t>
      </w:r>
    </w:p>
    <w:p w:rsidR="00201219" w:rsidRDefault="00201219" w:rsidP="00201219">
      <w:pPr>
        <w:rPr>
          <w:rFonts w:hint="eastAsia"/>
        </w:rPr>
      </w:pPr>
      <w:r>
        <w:rPr>
          <w:rFonts w:eastAsia="仿宋_GB2312" w:cs="宋体" w:hint="eastAsia"/>
          <w:noProof/>
          <w:color w:val="000000"/>
          <w:kern w:val="0"/>
          <w:sz w:val="30"/>
          <w:szCs w:val="30"/>
        </w:rPr>
        <w:drawing>
          <wp:anchor distT="0" distB="0" distL="114300" distR="114300" simplePos="0" relativeHeight="251659264" behindDoc="0" locked="0" layoutInCell="1" allowOverlap="1">
            <wp:simplePos x="0" y="0"/>
            <wp:positionH relativeFrom="column">
              <wp:posOffset>111760</wp:posOffset>
            </wp:positionH>
            <wp:positionV relativeFrom="paragraph">
              <wp:posOffset>2936240</wp:posOffset>
            </wp:positionV>
            <wp:extent cx="5182870" cy="2793365"/>
            <wp:effectExtent l="0" t="0" r="0" b="698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870" cy="2793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294630" cy="269367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4630" cy="2693670"/>
                    </a:xfrm>
                    <a:prstGeom prst="rect">
                      <a:avLst/>
                    </a:prstGeom>
                    <a:noFill/>
                  </pic:spPr>
                </pic:pic>
              </a:graphicData>
            </a:graphic>
          </wp:inline>
        </w:drawing>
      </w:r>
    </w:p>
    <w:p w:rsidR="00201219" w:rsidRPr="00201219" w:rsidRDefault="00201219" w:rsidP="00201219">
      <w:pPr>
        <w:spacing w:line="600" w:lineRule="exact"/>
        <w:ind w:firstLineChars="200" w:firstLine="640"/>
        <w:rPr>
          <w:rFonts w:ascii="仿宋_GB2312" w:eastAsia="仿宋_GB2312"/>
          <w:color w:val="000000"/>
          <w:sz w:val="32"/>
          <w:szCs w:val="32"/>
        </w:rPr>
      </w:pPr>
      <w:r w:rsidRPr="00201219">
        <w:rPr>
          <w:rFonts w:ascii="仿宋_GB2312" w:eastAsia="仿宋_GB2312" w:hint="eastAsia"/>
          <w:color w:val="000000"/>
          <w:sz w:val="32"/>
          <w:szCs w:val="32"/>
        </w:rPr>
        <w:t>全年全市缴存住房公积金75.18亿元，自房改以来累计缴存452.64亿元，年末余额252.60亿元。全年发放住房公积金贷款59.08亿元，累计发放贷款359.37亿元，年末贷款余额218.44亿元。</w:t>
      </w:r>
      <w:r w:rsidRPr="00201219">
        <w:rPr>
          <w:rFonts w:ascii="仿宋_GB2312" w:eastAsia="仿宋_GB2312"/>
          <w:color w:val="000000"/>
          <w:sz w:val="32"/>
          <w:szCs w:val="32"/>
        </w:rPr>
        <w:t>全</w:t>
      </w:r>
      <w:r w:rsidRPr="00201219">
        <w:rPr>
          <w:rFonts w:ascii="仿宋_GB2312" w:eastAsia="仿宋_GB2312" w:hint="eastAsia"/>
          <w:color w:val="000000"/>
          <w:sz w:val="32"/>
          <w:szCs w:val="32"/>
        </w:rPr>
        <w:t>年</w:t>
      </w:r>
      <w:r w:rsidRPr="00201219">
        <w:rPr>
          <w:rFonts w:ascii="仿宋_GB2312" w:eastAsia="仿宋_GB2312"/>
          <w:color w:val="000000"/>
          <w:sz w:val="32"/>
          <w:szCs w:val="32"/>
        </w:rPr>
        <w:t>保障性安居工程新开工面积</w:t>
      </w:r>
      <w:r w:rsidRPr="00201219">
        <w:rPr>
          <w:rFonts w:ascii="仿宋_GB2312" w:eastAsia="仿宋_GB2312" w:hint="eastAsia"/>
          <w:color w:val="000000"/>
          <w:sz w:val="32"/>
          <w:szCs w:val="32"/>
        </w:rPr>
        <w:t>331.95</w:t>
      </w:r>
      <w:r w:rsidRPr="00201219">
        <w:rPr>
          <w:rFonts w:ascii="仿宋_GB2312" w:eastAsia="仿宋_GB2312"/>
          <w:color w:val="000000"/>
          <w:sz w:val="32"/>
          <w:szCs w:val="32"/>
        </w:rPr>
        <w:t>万平方米，其中公共租赁住房</w:t>
      </w:r>
      <w:r w:rsidRPr="00201219">
        <w:rPr>
          <w:rFonts w:ascii="仿宋_GB2312" w:eastAsia="仿宋_GB2312" w:hint="eastAsia"/>
          <w:color w:val="000000"/>
          <w:sz w:val="32"/>
          <w:szCs w:val="32"/>
        </w:rPr>
        <w:t>12.52</w:t>
      </w:r>
      <w:r w:rsidRPr="00201219">
        <w:rPr>
          <w:rFonts w:ascii="仿宋_GB2312" w:eastAsia="仿宋_GB2312"/>
          <w:color w:val="000000"/>
          <w:sz w:val="32"/>
          <w:szCs w:val="32"/>
        </w:rPr>
        <w:t>万平方米，</w:t>
      </w:r>
      <w:proofErr w:type="gramStart"/>
      <w:r w:rsidRPr="00201219">
        <w:rPr>
          <w:rFonts w:ascii="仿宋_GB2312" w:eastAsia="仿宋_GB2312"/>
          <w:color w:val="000000"/>
          <w:sz w:val="32"/>
          <w:szCs w:val="32"/>
        </w:rPr>
        <w:t>在建保障</w:t>
      </w:r>
      <w:proofErr w:type="gramEnd"/>
      <w:r w:rsidRPr="00201219">
        <w:rPr>
          <w:rFonts w:ascii="仿宋_GB2312" w:eastAsia="仿宋_GB2312"/>
          <w:color w:val="000000"/>
          <w:sz w:val="32"/>
          <w:szCs w:val="32"/>
        </w:rPr>
        <w:t>性安居工程面积</w:t>
      </w:r>
      <w:r w:rsidRPr="00201219">
        <w:rPr>
          <w:rFonts w:ascii="仿宋_GB2312" w:eastAsia="仿宋_GB2312" w:hint="eastAsia"/>
          <w:color w:val="000000"/>
          <w:sz w:val="32"/>
          <w:szCs w:val="32"/>
        </w:rPr>
        <w:t>2591.58</w:t>
      </w:r>
      <w:r w:rsidRPr="00201219">
        <w:rPr>
          <w:rFonts w:ascii="仿宋_GB2312" w:eastAsia="仿宋_GB2312"/>
          <w:color w:val="000000"/>
          <w:sz w:val="32"/>
          <w:szCs w:val="32"/>
        </w:rPr>
        <w:t>万平方米。</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bookmarkStart w:id="5" w:name="OLE_LINK11"/>
      <w:bookmarkStart w:id="6" w:name="OLE_LINK12"/>
      <w:r w:rsidRPr="00201219">
        <w:rPr>
          <w:rFonts w:ascii="仿宋_GB2312" w:eastAsia="仿宋_GB2312" w:hint="eastAsia"/>
          <w:color w:val="000000"/>
          <w:sz w:val="32"/>
          <w:szCs w:val="32"/>
        </w:rPr>
        <w:t>全市设镇64个，街道办事处60个，乡6个。城市社区</w:t>
      </w:r>
      <w:r w:rsidRPr="00201219">
        <w:rPr>
          <w:rFonts w:ascii="仿宋_GB2312" w:eastAsia="仿宋_GB2312" w:hint="eastAsia"/>
          <w:color w:val="000000"/>
          <w:sz w:val="32"/>
          <w:szCs w:val="32"/>
        </w:rPr>
        <w:lastRenderedPageBreak/>
        <w:t>210个，居委会170个，建制村5405个。年末实有社会团体2940个。</w:t>
      </w:r>
    </w:p>
    <w:bookmarkEnd w:id="5"/>
    <w:bookmarkEnd w:id="6"/>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年末全市基本养老保险参保职工239.03万人，比上年增加17.15万人，当期征缴基本养老保险费118.43亿元。全市基本养老保险离退休人数46.94万人，当期发放养老金131.20亿元。全市城镇职工基本医疗保险参保人数158.27万人，当期征缴基本医疗保险费44.85亿元。全市失业保险参保人数108.09万人，当期征缴失业保险费8.32亿元。全市工伤保险参保人数237.05万人，当期征缴工伤保险费4.65亿元。全市生育保险参保人数97.48万人，当期征缴生育保险费2.22亿元。</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城乡居民享受最低生活保障人数12.45万人，发放保障资金4.46亿元。民政部门接受社会各界捐赠款3.44亿元。全市慈善系统共募款4.27亿元，支出救助2.66亿元；资助贫困学17188人，资助金额3172万元。全年办理结婚登记</w:t>
      </w:r>
      <w:r w:rsidRPr="00201219">
        <w:rPr>
          <w:rFonts w:ascii="仿宋_GB2312" w:eastAsia="仿宋_GB2312"/>
          <w:color w:val="000000"/>
          <w:sz w:val="32"/>
          <w:szCs w:val="32"/>
        </w:rPr>
        <w:t>7618</w:t>
      </w:r>
      <w:r w:rsidRPr="00201219">
        <w:rPr>
          <w:rFonts w:ascii="仿宋_GB2312" w:eastAsia="仿宋_GB2312" w:hint="eastAsia"/>
          <w:color w:val="000000"/>
          <w:sz w:val="32"/>
          <w:szCs w:val="32"/>
        </w:rPr>
        <w:t>7对。</w:t>
      </w:r>
    </w:p>
    <w:p w:rsidR="00201219" w:rsidRPr="00522214" w:rsidRDefault="00201219" w:rsidP="00201219">
      <w:pPr>
        <w:spacing w:line="600" w:lineRule="exact"/>
        <w:ind w:firstLineChars="200" w:firstLine="600"/>
        <w:rPr>
          <w:rFonts w:eastAsia="仿宋_GB2312" w:cs="宋体" w:hint="eastAsia"/>
          <w:color w:val="000000"/>
          <w:kern w:val="0"/>
          <w:sz w:val="30"/>
          <w:szCs w:val="30"/>
        </w:rPr>
      </w:pPr>
    </w:p>
    <w:p w:rsidR="00201219" w:rsidRPr="00201219" w:rsidRDefault="00201219" w:rsidP="00201219">
      <w:pPr>
        <w:spacing w:line="600" w:lineRule="exact"/>
        <w:jc w:val="center"/>
        <w:rPr>
          <w:rFonts w:eastAsia="黑体" w:cs="宋体" w:hint="eastAsia"/>
          <w:color w:val="000000"/>
          <w:kern w:val="0"/>
          <w:sz w:val="32"/>
          <w:szCs w:val="32"/>
        </w:rPr>
      </w:pPr>
      <w:r w:rsidRPr="00201219">
        <w:rPr>
          <w:rFonts w:eastAsia="黑体" w:cs="宋体" w:hint="eastAsia"/>
          <w:color w:val="000000"/>
          <w:kern w:val="0"/>
          <w:sz w:val="32"/>
          <w:szCs w:val="32"/>
        </w:rPr>
        <w:t>十二、生态建设、环境保护和其他社会事业</w:t>
      </w:r>
    </w:p>
    <w:p w:rsidR="00201219" w:rsidRPr="001C04F2" w:rsidRDefault="00201219" w:rsidP="00201219">
      <w:pPr>
        <w:spacing w:line="600" w:lineRule="exact"/>
        <w:ind w:firstLineChars="200" w:firstLine="600"/>
        <w:rPr>
          <w:rFonts w:eastAsia="仿宋_GB2312" w:hint="eastAsia"/>
          <w:color w:val="000000"/>
          <w:sz w:val="30"/>
          <w:szCs w:val="30"/>
          <w:highlight w:val="yellow"/>
        </w:rPr>
      </w:pP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水资源总量为159.01亿立方米，比上年增长15.2％。市区自来水年供水量25218万吨。全年荒山荒（沙）地造林面积9.99万亩，建设沿海重点防护林1.32万亩；年末实有封山（沙）育林面积119.04万亩；全市森林覆盖率60.03%。</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lastRenderedPageBreak/>
        <w:t>生态建设成效显著。全市已建成国家级生态示范区3个，省级生态县4个，国家级生态乡镇（街道）35个，省级生态乡镇（街道）88个；自然保护区4个，其中国家级2个，省级1个，县级1个；国家级风景名胜区3个5处，国家级森林公园5个，省级生态旅游（示范）区8个；已建成合格（规范）饮用水源保护区85个。全市建成国家级绿色学校1所，省级绿色学校169所；建成国家级绿色社区3个，省级绿色社区109个，省级生态环境示范教育基地14个。</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据市环境监测中心站监测，市区环境空气质量（AQI）达到Ⅰ级标准的有53天，达到Ⅱ级标准的有247天，环境空气质量优良率为82.2%，同比提高13.4个百分点，PM2.5浓度下降20.7%。全市地表水市控及市控以上站位75个，水质在Ⅰ至Ⅲ类的站位34个。市区有取水的两个饮用水源地按《地表水环境质量标准》Ⅲ类水评价，年度达标率为100%。市区区域环境噪声昼间等效声级平均值54.5分贝，比上年下降0.3分贝；交通噪声等效声级平均值67.5分贝，比上年下降0.6分贝。</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节能减</w:t>
      </w:r>
      <w:proofErr w:type="gramStart"/>
      <w:r w:rsidRPr="00201219">
        <w:rPr>
          <w:rFonts w:ascii="仿宋_GB2312" w:eastAsia="仿宋_GB2312" w:hint="eastAsia"/>
          <w:color w:val="000000"/>
          <w:sz w:val="32"/>
          <w:szCs w:val="32"/>
        </w:rPr>
        <w:t>排取得</w:t>
      </w:r>
      <w:proofErr w:type="gramEnd"/>
      <w:r w:rsidRPr="00201219">
        <w:rPr>
          <w:rFonts w:ascii="仿宋_GB2312" w:eastAsia="仿宋_GB2312" w:hint="eastAsia"/>
          <w:color w:val="000000"/>
          <w:sz w:val="32"/>
          <w:szCs w:val="32"/>
        </w:rPr>
        <w:t>积极成效。全市单位GDP能耗比上年下降5.0％，“十二五”前四年单位GDP能耗累计下降17.6%，超“十二五”目标2.6个百分点。其中规模以上工业单位增加值能耗同比下降7.3％。</w:t>
      </w:r>
      <w:bookmarkStart w:id="7" w:name="OLE_LINK7"/>
      <w:r w:rsidRPr="00201219">
        <w:rPr>
          <w:rFonts w:ascii="仿宋_GB2312" w:eastAsia="仿宋_GB2312" w:hint="eastAsia"/>
          <w:color w:val="000000"/>
          <w:sz w:val="32"/>
          <w:szCs w:val="32"/>
        </w:rPr>
        <w:t>全市化学需氧量（COD）排放量比上年下降3.75%，氨氮排放量下降5.28%，二氧化硫（SO2）排放量比上年下降1.01%，氮氧化物排放量下降5.73%。全市已</w:t>
      </w:r>
      <w:r w:rsidRPr="00201219">
        <w:rPr>
          <w:rFonts w:ascii="仿宋_GB2312" w:eastAsia="仿宋_GB2312" w:hint="eastAsia"/>
          <w:color w:val="000000"/>
          <w:sz w:val="32"/>
          <w:szCs w:val="32"/>
        </w:rPr>
        <w:lastRenderedPageBreak/>
        <w:t>建成投运城镇生活污水处理厂18座，设计处理能力为96.25万吨/日，实际处理能力约82.5万吨/日，市区污水处理率达91.9％，县（市）城市平均污水处理率达89.8%。全市城市生活垃圾无害化处理率和农村生活垃圾集中收集行政村覆盖率达100％。</w:t>
      </w:r>
    </w:p>
    <w:bookmarkEnd w:id="7"/>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全市共发生各类事故（不含火灾）2171起，死亡552人，直接经济损失2286万元，分别比上年下降7.0％、5.3％和19.9％。</w:t>
      </w:r>
    </w:p>
    <w:p w:rsidR="00201219" w:rsidRPr="00201219" w:rsidRDefault="00201219" w:rsidP="00201219">
      <w:pPr>
        <w:spacing w:line="600" w:lineRule="exact"/>
        <w:ind w:firstLineChars="200" w:firstLine="640"/>
        <w:rPr>
          <w:rFonts w:ascii="仿宋_GB2312" w:eastAsia="仿宋_GB2312" w:hint="eastAsia"/>
          <w:color w:val="000000"/>
          <w:sz w:val="32"/>
          <w:szCs w:val="32"/>
        </w:rPr>
      </w:pPr>
      <w:r w:rsidRPr="00201219">
        <w:rPr>
          <w:rFonts w:ascii="仿宋_GB2312" w:eastAsia="仿宋_GB2312" w:hint="eastAsia"/>
          <w:color w:val="000000"/>
          <w:sz w:val="32"/>
          <w:szCs w:val="32"/>
        </w:rPr>
        <w:t>全市有律师机构112个，律师1572人，全年办理国内各类诉讼辩护案件36145件。各级人民调解机构调解案件总数61382件。全年办理国内公证99040件，办理涉外公证40782件。</w:t>
      </w:r>
    </w:p>
    <w:p w:rsidR="00201219" w:rsidRDefault="00201219" w:rsidP="00201219">
      <w:pPr>
        <w:spacing w:line="320" w:lineRule="atLeast"/>
        <w:ind w:firstLineChars="200" w:firstLine="480"/>
        <w:rPr>
          <w:rFonts w:eastAsia="楷体_GB2312" w:hint="eastAsia"/>
          <w:color w:val="000000"/>
          <w:sz w:val="24"/>
        </w:rPr>
      </w:pPr>
    </w:p>
    <w:p w:rsidR="00201219" w:rsidRPr="009D60C7" w:rsidRDefault="00201219" w:rsidP="00201219">
      <w:pPr>
        <w:spacing w:line="320" w:lineRule="atLeast"/>
        <w:ind w:firstLineChars="200" w:firstLine="480"/>
        <w:rPr>
          <w:rFonts w:eastAsia="楷体_GB2312" w:hint="eastAsia"/>
          <w:color w:val="000000"/>
          <w:sz w:val="24"/>
        </w:rPr>
      </w:pPr>
      <w:r w:rsidRPr="009D60C7">
        <w:rPr>
          <w:rFonts w:eastAsia="楷体_GB2312" w:hint="eastAsia"/>
          <w:color w:val="000000"/>
          <w:sz w:val="24"/>
        </w:rPr>
        <w:t>注：</w:t>
      </w:r>
    </w:p>
    <w:p w:rsidR="00201219" w:rsidRPr="009D60C7" w:rsidRDefault="00201219" w:rsidP="00201219">
      <w:pPr>
        <w:spacing w:line="320" w:lineRule="atLeast"/>
        <w:ind w:firstLineChars="200" w:firstLine="480"/>
        <w:rPr>
          <w:rFonts w:eastAsia="楷体_GB2312" w:hint="eastAsia"/>
          <w:color w:val="000000"/>
          <w:sz w:val="24"/>
        </w:rPr>
      </w:pPr>
      <w:r w:rsidRPr="009D60C7">
        <w:rPr>
          <w:rFonts w:eastAsia="楷体_GB2312" w:hint="eastAsia"/>
          <w:color w:val="000000"/>
          <w:sz w:val="24"/>
        </w:rPr>
        <w:t>1.</w:t>
      </w:r>
      <w:r w:rsidRPr="009D60C7">
        <w:rPr>
          <w:rFonts w:eastAsia="楷体_GB2312" w:hint="eastAsia"/>
          <w:color w:val="000000"/>
          <w:sz w:val="24"/>
        </w:rPr>
        <w:t>本公报所列部分数据为年度初步统计数据。</w:t>
      </w:r>
    </w:p>
    <w:p w:rsidR="00201219" w:rsidRDefault="00201219" w:rsidP="00201219">
      <w:pPr>
        <w:spacing w:line="320" w:lineRule="atLeast"/>
        <w:ind w:firstLineChars="200" w:firstLine="480"/>
        <w:jc w:val="left"/>
        <w:rPr>
          <w:rFonts w:eastAsia="楷体_GB2312" w:hint="eastAsia"/>
          <w:color w:val="000000"/>
          <w:sz w:val="24"/>
        </w:rPr>
      </w:pPr>
      <w:r w:rsidRPr="009D60C7">
        <w:rPr>
          <w:rFonts w:eastAsia="楷体_GB2312" w:hint="eastAsia"/>
          <w:color w:val="000000"/>
          <w:sz w:val="24"/>
        </w:rPr>
        <w:t>2.</w:t>
      </w:r>
      <w:r w:rsidRPr="009D60C7">
        <w:rPr>
          <w:rFonts w:eastAsia="楷体_GB2312" w:hint="eastAsia"/>
          <w:color w:val="000000"/>
          <w:sz w:val="24"/>
        </w:rPr>
        <w:t>全市地区生产总值和各产业增加值绝对数按现行价格计算，增长速度按可比价格计算。</w:t>
      </w:r>
      <w:r>
        <w:rPr>
          <w:rFonts w:eastAsia="楷体_GB2312" w:hint="eastAsia"/>
          <w:color w:val="000000"/>
          <w:sz w:val="24"/>
        </w:rPr>
        <w:t>2013</w:t>
      </w:r>
      <w:r>
        <w:rPr>
          <w:rFonts w:eastAsia="楷体_GB2312" w:hint="eastAsia"/>
          <w:color w:val="000000"/>
          <w:sz w:val="24"/>
        </w:rPr>
        <w:t>年地区生产总值和三次产业结构由于三经普后有所调整，与以前数据不可比。</w:t>
      </w:r>
    </w:p>
    <w:p w:rsidR="00201219" w:rsidRDefault="00201219" w:rsidP="00201219">
      <w:pPr>
        <w:spacing w:line="320" w:lineRule="atLeast"/>
        <w:ind w:firstLineChars="200" w:firstLine="480"/>
        <w:jc w:val="left"/>
        <w:rPr>
          <w:rFonts w:eastAsia="楷体_GB2312" w:hint="eastAsia"/>
          <w:color w:val="000000"/>
          <w:sz w:val="24"/>
        </w:rPr>
      </w:pPr>
      <w:r>
        <w:rPr>
          <w:rFonts w:eastAsia="楷体_GB2312" w:hint="eastAsia"/>
          <w:color w:val="000000"/>
          <w:sz w:val="24"/>
        </w:rPr>
        <w:t>3.</w:t>
      </w:r>
      <w:r>
        <w:rPr>
          <w:rFonts w:eastAsia="楷体_GB2312" w:hint="eastAsia"/>
          <w:color w:val="000000"/>
          <w:sz w:val="24"/>
        </w:rPr>
        <w:t>固定资产投资为限额以上固定资产投资口径。</w:t>
      </w:r>
    </w:p>
    <w:p w:rsidR="00201219" w:rsidRPr="00C067C3" w:rsidRDefault="00201219" w:rsidP="00201219">
      <w:pPr>
        <w:spacing w:line="320" w:lineRule="atLeast"/>
        <w:ind w:firstLineChars="200" w:firstLine="480"/>
        <w:jc w:val="left"/>
        <w:rPr>
          <w:rFonts w:eastAsia="楷体_GB2312" w:hint="eastAsia"/>
          <w:color w:val="000000"/>
          <w:sz w:val="24"/>
        </w:rPr>
      </w:pPr>
      <w:r>
        <w:rPr>
          <w:rFonts w:eastAsia="楷体_GB2312" w:hint="eastAsia"/>
          <w:color w:val="000000"/>
          <w:sz w:val="24"/>
        </w:rPr>
        <w:t>4.</w:t>
      </w:r>
      <w:r w:rsidRPr="00C067C3">
        <w:rPr>
          <w:rFonts w:eastAsia="楷体_GB2312" w:hint="eastAsia"/>
          <w:color w:val="000000"/>
          <w:sz w:val="24"/>
        </w:rPr>
        <w:t>2014</w:t>
      </w:r>
      <w:r w:rsidRPr="00C067C3">
        <w:rPr>
          <w:rFonts w:eastAsia="楷体_GB2312" w:hint="eastAsia"/>
          <w:color w:val="000000"/>
          <w:sz w:val="24"/>
        </w:rPr>
        <w:t>年交通部门公路运输量统计测算方法变化，</w:t>
      </w:r>
      <w:r w:rsidRPr="00C067C3">
        <w:rPr>
          <w:rFonts w:eastAsia="楷体_GB2312" w:hint="eastAsia"/>
          <w:color w:val="000000"/>
          <w:sz w:val="24"/>
        </w:rPr>
        <w:t>2013</w:t>
      </w:r>
      <w:r w:rsidRPr="00C067C3">
        <w:rPr>
          <w:rFonts w:eastAsia="楷体_GB2312" w:hint="eastAsia"/>
          <w:color w:val="000000"/>
          <w:sz w:val="24"/>
        </w:rPr>
        <w:t>年同期数有调整。</w:t>
      </w:r>
    </w:p>
    <w:p w:rsidR="00201219" w:rsidRPr="00A96AE0" w:rsidRDefault="00201219" w:rsidP="00201219">
      <w:pPr>
        <w:ind w:firstLineChars="200" w:firstLine="480"/>
        <w:rPr>
          <w:rFonts w:eastAsia="楷体_GB2312" w:hint="eastAsia"/>
          <w:color w:val="000000"/>
          <w:sz w:val="24"/>
        </w:rPr>
      </w:pPr>
      <w:r>
        <w:rPr>
          <w:rFonts w:eastAsia="楷体_GB2312" w:hint="eastAsia"/>
          <w:color w:val="000000"/>
          <w:sz w:val="24"/>
        </w:rPr>
        <w:t>5.2014</w:t>
      </w:r>
      <w:r>
        <w:rPr>
          <w:rFonts w:eastAsia="楷体_GB2312" w:hint="eastAsia"/>
          <w:color w:val="000000"/>
          <w:sz w:val="24"/>
        </w:rPr>
        <w:t>年城乡收入采用</w:t>
      </w:r>
      <w:r w:rsidRPr="003C195F">
        <w:rPr>
          <w:rFonts w:eastAsia="楷体_GB2312" w:hint="eastAsia"/>
          <w:color w:val="000000"/>
          <w:sz w:val="24"/>
        </w:rPr>
        <w:t>城乡一体化住户调查改革</w:t>
      </w:r>
      <w:r>
        <w:rPr>
          <w:rFonts w:eastAsia="楷体_GB2312" w:hint="eastAsia"/>
          <w:color w:val="000000"/>
          <w:sz w:val="24"/>
        </w:rPr>
        <w:t>后新口径数据，</w:t>
      </w:r>
      <w:r w:rsidRPr="00A96AE0">
        <w:rPr>
          <w:rFonts w:eastAsia="楷体_GB2312" w:hint="eastAsia"/>
          <w:color w:val="000000"/>
          <w:sz w:val="24"/>
        </w:rPr>
        <w:t>农村居民收入之前</w:t>
      </w:r>
      <w:r>
        <w:rPr>
          <w:rFonts w:eastAsia="楷体_GB2312" w:hint="eastAsia"/>
          <w:color w:val="000000"/>
          <w:sz w:val="24"/>
        </w:rPr>
        <w:t>口径</w:t>
      </w:r>
      <w:r w:rsidRPr="00A96AE0">
        <w:rPr>
          <w:rFonts w:eastAsia="楷体_GB2312" w:hint="eastAsia"/>
          <w:color w:val="000000"/>
          <w:sz w:val="24"/>
        </w:rPr>
        <w:t>为农</w:t>
      </w:r>
      <w:r>
        <w:rPr>
          <w:rFonts w:eastAsia="楷体_GB2312" w:hint="eastAsia"/>
          <w:color w:val="000000"/>
          <w:sz w:val="24"/>
        </w:rPr>
        <w:t>村居民</w:t>
      </w:r>
      <w:r w:rsidRPr="00A96AE0">
        <w:rPr>
          <w:rFonts w:eastAsia="楷体_GB2312" w:hint="eastAsia"/>
          <w:color w:val="000000"/>
          <w:sz w:val="24"/>
        </w:rPr>
        <w:t>人均纯收入。</w:t>
      </w:r>
      <w:bookmarkEnd w:id="0"/>
    </w:p>
    <w:p w:rsidR="001B12AA" w:rsidRPr="00201219" w:rsidRDefault="001B12AA"/>
    <w:sectPr w:rsidR="001B12AA" w:rsidRPr="00201219">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24" w:rsidRDefault="002B6B24" w:rsidP="00201219">
      <w:r>
        <w:separator/>
      </w:r>
    </w:p>
  </w:endnote>
  <w:endnote w:type="continuationSeparator" w:id="0">
    <w:p w:rsidR="002B6B24" w:rsidRDefault="002B6B24" w:rsidP="002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04" w:rsidRDefault="002B6B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1704" w:rsidRDefault="002B6B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04" w:rsidRDefault="002B6B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389A">
      <w:rPr>
        <w:rStyle w:val="a6"/>
        <w:noProof/>
      </w:rPr>
      <w:t>20</w:t>
    </w:r>
    <w:r>
      <w:rPr>
        <w:rStyle w:val="a6"/>
      </w:rPr>
      <w:fldChar w:fldCharType="end"/>
    </w:r>
  </w:p>
  <w:p w:rsidR="007E1704" w:rsidRDefault="002B6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24" w:rsidRDefault="002B6B24" w:rsidP="00201219">
      <w:r>
        <w:separator/>
      </w:r>
    </w:p>
  </w:footnote>
  <w:footnote w:type="continuationSeparator" w:id="0">
    <w:p w:rsidR="002B6B24" w:rsidRDefault="002B6B24" w:rsidP="0020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A7CBA"/>
    <w:multiLevelType w:val="hybridMultilevel"/>
    <w:tmpl w:val="C48CAA54"/>
    <w:lvl w:ilvl="0" w:tplc="88F83B00">
      <w:start w:val="1"/>
      <w:numFmt w:val="japaneseCounting"/>
      <w:lvlText w:val="%1、"/>
      <w:lvlJc w:val="left"/>
      <w:pPr>
        <w:tabs>
          <w:tab w:val="num" w:pos="1455"/>
        </w:tabs>
        <w:ind w:left="1455" w:hanging="720"/>
      </w:pPr>
      <w:rPr>
        <w:rFonts w:hint="eastAsia"/>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8"/>
    <w:rsid w:val="00005CD3"/>
    <w:rsid w:val="000B2DFB"/>
    <w:rsid w:val="000E0741"/>
    <w:rsid w:val="000F5282"/>
    <w:rsid w:val="00140533"/>
    <w:rsid w:val="001417FE"/>
    <w:rsid w:val="00195818"/>
    <w:rsid w:val="001B12AA"/>
    <w:rsid w:val="001C2E9D"/>
    <w:rsid w:val="001F1AFE"/>
    <w:rsid w:val="00201219"/>
    <w:rsid w:val="0025734D"/>
    <w:rsid w:val="002A0F04"/>
    <w:rsid w:val="002B6B24"/>
    <w:rsid w:val="002D1ED9"/>
    <w:rsid w:val="00324BB5"/>
    <w:rsid w:val="00325527"/>
    <w:rsid w:val="00446370"/>
    <w:rsid w:val="00530E91"/>
    <w:rsid w:val="00584D7B"/>
    <w:rsid w:val="005B6D4C"/>
    <w:rsid w:val="00634F3A"/>
    <w:rsid w:val="00660C0D"/>
    <w:rsid w:val="00665299"/>
    <w:rsid w:val="00697205"/>
    <w:rsid w:val="0075454B"/>
    <w:rsid w:val="0082389A"/>
    <w:rsid w:val="00883F0C"/>
    <w:rsid w:val="008F7D45"/>
    <w:rsid w:val="009468EA"/>
    <w:rsid w:val="00B742B4"/>
    <w:rsid w:val="00B77F44"/>
    <w:rsid w:val="00B9708A"/>
    <w:rsid w:val="00BD0D73"/>
    <w:rsid w:val="00BD6ADB"/>
    <w:rsid w:val="00BD7BEA"/>
    <w:rsid w:val="00D65FFD"/>
    <w:rsid w:val="00D76C2D"/>
    <w:rsid w:val="00DB1EE2"/>
    <w:rsid w:val="00E04055"/>
    <w:rsid w:val="00E43E85"/>
    <w:rsid w:val="00E82644"/>
    <w:rsid w:val="00EC3C68"/>
    <w:rsid w:val="00F00348"/>
    <w:rsid w:val="00F01A74"/>
    <w:rsid w:val="00F1033A"/>
    <w:rsid w:val="00F25522"/>
    <w:rsid w:val="00FC2107"/>
    <w:rsid w:val="00FD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1E90C-D8B7-46C5-BE91-70D6A49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201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1219"/>
    <w:rPr>
      <w:sz w:val="18"/>
      <w:szCs w:val="18"/>
    </w:rPr>
  </w:style>
  <w:style w:type="paragraph" w:styleId="a4">
    <w:name w:val="footer"/>
    <w:basedOn w:val="a"/>
    <w:link w:val="Char0"/>
    <w:unhideWhenUsed/>
    <w:rsid w:val="00201219"/>
    <w:pPr>
      <w:tabs>
        <w:tab w:val="center" w:pos="4153"/>
        <w:tab w:val="right" w:pos="8306"/>
      </w:tabs>
      <w:snapToGrid w:val="0"/>
      <w:jc w:val="left"/>
    </w:pPr>
    <w:rPr>
      <w:sz w:val="18"/>
      <w:szCs w:val="18"/>
    </w:rPr>
  </w:style>
  <w:style w:type="character" w:customStyle="1" w:styleId="Char0">
    <w:name w:val="页脚 Char"/>
    <w:basedOn w:val="a0"/>
    <w:link w:val="a4"/>
    <w:uiPriority w:val="99"/>
    <w:rsid w:val="00201219"/>
    <w:rPr>
      <w:sz w:val="18"/>
      <w:szCs w:val="18"/>
    </w:rPr>
  </w:style>
  <w:style w:type="character" w:styleId="a5">
    <w:name w:val="Strong"/>
    <w:qFormat/>
    <w:rsid w:val="00201219"/>
    <w:rPr>
      <w:b/>
      <w:bCs/>
    </w:rPr>
  </w:style>
  <w:style w:type="character" w:styleId="a6">
    <w:name w:val="page number"/>
    <w:basedOn w:val="a0"/>
    <w:rsid w:val="00201219"/>
  </w:style>
  <w:style w:type="table" w:styleId="a7">
    <w:name w:val="Table Grid"/>
    <w:basedOn w:val="a1"/>
    <w:rsid w:val="002012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rsid w:val="00201219"/>
    <w:rPr>
      <w:sz w:val="18"/>
      <w:szCs w:val="18"/>
    </w:rPr>
  </w:style>
  <w:style w:type="character" w:customStyle="1" w:styleId="Char1">
    <w:name w:val="批注框文本 Char"/>
    <w:basedOn w:val="a0"/>
    <w:link w:val="a8"/>
    <w:semiHidden/>
    <w:rsid w:val="00201219"/>
    <w:rPr>
      <w:rFonts w:ascii="Times New Roman" w:eastAsia="宋体" w:hAnsi="Times New Roman" w:cs="Times New Roman"/>
      <w:sz w:val="18"/>
      <w:szCs w:val="18"/>
    </w:rPr>
  </w:style>
  <w:style w:type="paragraph" w:customStyle="1" w:styleId="CharCharCharChar">
    <w:name w:val=" Char Char Char Char"/>
    <w:basedOn w:val="a"/>
    <w:rsid w:val="00201219"/>
    <w:rPr>
      <w:sz w:val="32"/>
      <w:szCs w:val="32"/>
    </w:rPr>
  </w:style>
  <w:style w:type="paragraph" w:customStyle="1" w:styleId="Char2">
    <w:name w:val=" Char"/>
    <w:basedOn w:val="a"/>
    <w:rsid w:val="00201219"/>
    <w:rPr>
      <w:sz w:val="32"/>
      <w:szCs w:val="32"/>
    </w:rPr>
  </w:style>
  <w:style w:type="paragraph" w:styleId="a9">
    <w:name w:val="Normal (Web)"/>
    <w:basedOn w:val="a"/>
    <w:rsid w:val="00201219"/>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201219"/>
    <w:pPr>
      <w:widowControl/>
      <w:spacing w:before="200" w:after="200"/>
      <w:jc w:val="left"/>
    </w:pPr>
    <w:rPr>
      <w:rFonts w:ascii="宋体" w:hAnsi="宋体" w:cs="宋体"/>
      <w:kern w:val="0"/>
      <w:sz w:val="24"/>
    </w:rPr>
  </w:style>
  <w:style w:type="paragraph" w:customStyle="1" w:styleId="CharCharChar">
    <w:name w:val="Char Char Char"/>
    <w:basedOn w:val="a"/>
    <w:rsid w:val="00201219"/>
    <w:pPr>
      <w:widowControl/>
      <w:spacing w:after="160" w:line="240" w:lineRule="exact"/>
      <w:jc w:val="left"/>
    </w:pPr>
    <w:rPr>
      <w:rFonts w:ascii="Verdana" w:eastAsia="仿宋_GB2312" w:hAnsi="Verdana"/>
      <w:kern w:val="0"/>
      <w:sz w:val="20"/>
      <w:szCs w:val="32"/>
      <w:lang w:eastAsia="en-US"/>
    </w:rPr>
  </w:style>
  <w:style w:type="paragraph" w:customStyle="1" w:styleId="Char3">
    <w:name w:val="Char"/>
    <w:basedOn w:val="a"/>
    <w:rsid w:val="00201219"/>
    <w:pPr>
      <w:tabs>
        <w:tab w:val="left"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inyamin\Documents\Tencent%20Files\77266032\FileRecv\&#20108;&#12289;&#20844;&#25253;&#29992;&#2227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inyamin\Documents\Tencent%20Files\77266032\FileRecv\&#20108;&#12289;&#20844;&#25253;&#29992;&#2227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inyamin\Documents\Tencent%20Files\77266032\FileRecv\&#20108;&#12289;&#20844;&#25253;&#29992;&#2227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inyamin\Documents\Tencent%20Files\77266032\FileRecv\&#20108;&#12289;&#20844;&#25253;&#29992;&#22270;.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zh-CN" altLang="en-US" sz="1400" b="1" i="0" u="none" strike="noStrike" baseline="0">
                <a:solidFill>
                  <a:srgbClr val="000000"/>
                </a:solidFill>
                <a:latin typeface="宋体"/>
                <a:ea typeface="宋体"/>
              </a:rPr>
              <a:t>图</a:t>
            </a:r>
            <a:r>
              <a:rPr lang="en-US" altLang="zh-CN" sz="1400" b="1" i="0" u="none" strike="noStrike" baseline="0">
                <a:solidFill>
                  <a:srgbClr val="000000"/>
                </a:solidFill>
                <a:latin typeface="宋体"/>
                <a:ea typeface="宋体"/>
              </a:rPr>
              <a:t>1   2006-2014</a:t>
            </a:r>
            <a:r>
              <a:rPr lang="zh-CN" altLang="en-US" sz="1400" b="1" i="0" u="none" strike="noStrike" baseline="0">
                <a:solidFill>
                  <a:srgbClr val="000000"/>
                </a:solidFill>
                <a:latin typeface="宋体"/>
                <a:ea typeface="宋体"/>
              </a:rPr>
              <a:t>年温州市生产总值及增长率</a:t>
            </a:r>
          </a:p>
        </c:rich>
      </c:tx>
      <c:layout>
        <c:manualLayout>
          <c:xMode val="edge"/>
          <c:yMode val="edge"/>
          <c:x val="0.14551625209285388"/>
          <c:y val="2.8818443804034581E-2"/>
        </c:manualLayout>
      </c:layout>
      <c:overlay val="0"/>
      <c:spPr>
        <a:noFill/>
        <a:ln w="25400">
          <a:noFill/>
        </a:ln>
      </c:spPr>
    </c:title>
    <c:autoTitleDeleted val="0"/>
    <c:plotArea>
      <c:layout>
        <c:manualLayout>
          <c:layoutTarget val="inner"/>
          <c:xMode val="edge"/>
          <c:yMode val="edge"/>
          <c:x val="8.7986609009175737E-2"/>
          <c:y val="0.21902017291066284"/>
          <c:w val="0.83587278558716949"/>
          <c:h val="0.65994236311239196"/>
        </c:manualLayout>
      </c:layout>
      <c:barChart>
        <c:barDir val="col"/>
        <c:grouping val="clustered"/>
        <c:varyColors val="0"/>
        <c:ser>
          <c:idx val="1"/>
          <c:order val="0"/>
          <c:tx>
            <c:strRef>
              <c:f>'除图5外,其余图在此'!$B$2</c:f>
              <c:strCache>
                <c:ptCount val="1"/>
                <c:pt idx="0">
                  <c:v>地区生产总值</c:v>
                </c:pt>
              </c:strCache>
            </c:strRef>
          </c:tx>
          <c:spPr>
            <a:solidFill>
              <a:srgbClr val="993366"/>
            </a:solidFill>
            <a:ln w="12700">
              <a:solidFill>
                <a:srgbClr val="000000"/>
              </a:solidFill>
              <a:prstDash val="solid"/>
            </a:ln>
          </c:spPr>
          <c:invertIfNegative val="0"/>
          <c:dLbls>
            <c:numFmt formatCode="0_ " sourceLinked="0"/>
            <c:spPr>
              <a:noFill/>
              <a:ln w="25400">
                <a:noFill/>
              </a:ln>
            </c:spPr>
            <c:txPr>
              <a:bodyPr anchorCtr="0"/>
              <a:lstStyle/>
              <a:p>
                <a:pPr algn="just">
                  <a:defRPr sz="10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'除图5外,其余图在此'!$B$4:$B$12</c:f>
              <c:numCache>
                <c:formatCode>0.0_ </c:formatCode>
                <c:ptCount val="9"/>
                <c:pt idx="0">
                  <c:v>1826.9214999999999</c:v>
                </c:pt>
                <c:pt idx="1">
                  <c:v>2146.6221</c:v>
                </c:pt>
                <c:pt idx="2">
                  <c:v>2407.4596000000001</c:v>
                </c:pt>
                <c:pt idx="3">
                  <c:v>2527.34</c:v>
                </c:pt>
                <c:pt idx="4">
                  <c:v>2925.04</c:v>
                </c:pt>
                <c:pt idx="5">
                  <c:v>3418.53</c:v>
                </c:pt>
                <c:pt idx="6">
                  <c:v>3669.18</c:v>
                </c:pt>
                <c:pt idx="7">
                  <c:v>4024.5</c:v>
                </c:pt>
                <c:pt idx="8">
                  <c:v>4302.8100000000004</c:v>
                </c:pt>
              </c:numCache>
            </c:numRef>
          </c:val>
        </c:ser>
        <c:dLbls>
          <c:showLegendKey val="0"/>
          <c:showVal val="0"/>
          <c:showCatName val="0"/>
          <c:showSerName val="0"/>
          <c:showPercent val="0"/>
          <c:showBubbleSize val="0"/>
        </c:dLbls>
        <c:gapWidth val="120"/>
        <c:axId val="802106544"/>
        <c:axId val="802104976"/>
      </c:barChart>
      <c:lineChart>
        <c:grouping val="standard"/>
        <c:varyColors val="0"/>
        <c:ser>
          <c:idx val="0"/>
          <c:order val="1"/>
          <c:tx>
            <c:strRef>
              <c:f>'除图5外,其余图在此'!$C$2</c:f>
              <c:strCache>
                <c:ptCount val="1"/>
                <c:pt idx="0">
                  <c:v>比上年增长</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9117399851670583E-2"/>
                  <c:y val="4.36899710302782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922888272618477E-2"/>
                  <c:y val="-2.62128329059732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039496625249744E-2"/>
                  <c:y val="5.7720998131717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7848332793903696E-2"/>
                  <c:y val="4.12764830909104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0961771041598184E-2"/>
                  <c:y val="8.51165218180580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154707556758877E-2"/>
                  <c:y val="4.79405780329331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3347466429150326E-2"/>
                  <c:y val="-6.17855332924883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564646424273111E-2"/>
                  <c:y val="-5.7618734257641427E-2"/>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8729143628620025E-2"/>
                  <c:y val="-5.5955887358460528E-2"/>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2402843437439588"/>
                  <c:y val="0.37463976945244959"/>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86971378905223706"/>
                  <c:y val="0.40922190201729108"/>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'除图5外,其余图在此'!$C$4:$C$12</c:f>
              <c:numCache>
                <c:formatCode>0.0_ </c:formatCode>
                <c:ptCount val="9"/>
                <c:pt idx="0">
                  <c:v>13.1</c:v>
                </c:pt>
                <c:pt idx="1">
                  <c:v>14.2</c:v>
                </c:pt>
                <c:pt idx="2">
                  <c:v>8.1999999999999993</c:v>
                </c:pt>
                <c:pt idx="3">
                  <c:v>8.5</c:v>
                </c:pt>
                <c:pt idx="4">
                  <c:v>11.1</c:v>
                </c:pt>
                <c:pt idx="5">
                  <c:v>9.5</c:v>
                </c:pt>
                <c:pt idx="6">
                  <c:v>6.7</c:v>
                </c:pt>
                <c:pt idx="7">
                  <c:v>7.7</c:v>
                </c:pt>
                <c:pt idx="8">
                  <c:v>7.2</c:v>
                </c:pt>
              </c:numCache>
            </c:numRef>
          </c:val>
          <c:smooth val="0"/>
        </c:ser>
        <c:dLbls>
          <c:showLegendKey val="0"/>
          <c:showVal val="0"/>
          <c:showCatName val="0"/>
          <c:showSerName val="0"/>
          <c:showPercent val="0"/>
          <c:showBubbleSize val="0"/>
        </c:dLbls>
        <c:marker val="1"/>
        <c:smooth val="0"/>
        <c:axId val="802093608"/>
        <c:axId val="802105368"/>
      </c:lineChart>
      <c:catAx>
        <c:axId val="8021065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802104976"/>
        <c:crosses val="autoZero"/>
        <c:auto val="0"/>
        <c:lblAlgn val="ctr"/>
        <c:lblOffset val="100"/>
        <c:tickLblSkip val="1"/>
        <c:tickMarkSkip val="1"/>
        <c:noMultiLvlLbl val="0"/>
      </c:catAx>
      <c:valAx>
        <c:axId val="802104976"/>
        <c:scaling>
          <c:orientation val="minMax"/>
        </c:scaling>
        <c:delete val="0"/>
        <c:axPos val="l"/>
        <c:title>
          <c:tx>
            <c:rich>
              <a:bodyPr rot="0" vert="horz"/>
              <a:lstStyle/>
              <a:p>
                <a:pPr algn="ctr">
                  <a:defRPr sz="1000" b="0" i="0" u="none" strike="noStrike" baseline="0">
                    <a:solidFill>
                      <a:srgbClr val="000000"/>
                    </a:solidFill>
                    <a:latin typeface="Arial"/>
                    <a:ea typeface="Arial"/>
                    <a:cs typeface="Arial"/>
                  </a:defRPr>
                </a:pPr>
                <a:r>
                  <a:rPr lang="zh-CN" altLang="en-US"/>
                  <a:t>亿元</a:t>
                </a:r>
              </a:p>
            </c:rich>
          </c:tx>
          <c:layout>
            <c:manualLayout>
              <c:xMode val="edge"/>
              <c:yMode val="edge"/>
              <c:x val="2.1996615905245348E-2"/>
              <c:y val="0.10951008645533142"/>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802106544"/>
        <c:crosses val="autoZero"/>
        <c:crossBetween val="between"/>
      </c:valAx>
      <c:catAx>
        <c:axId val="802093608"/>
        <c:scaling>
          <c:orientation val="minMax"/>
        </c:scaling>
        <c:delete val="1"/>
        <c:axPos val="b"/>
        <c:numFmt formatCode="General" sourceLinked="1"/>
        <c:majorTickMark val="out"/>
        <c:minorTickMark val="none"/>
        <c:tickLblPos val="nextTo"/>
        <c:crossAx val="802105368"/>
        <c:crosses val="autoZero"/>
        <c:auto val="0"/>
        <c:lblAlgn val="ctr"/>
        <c:lblOffset val="100"/>
        <c:noMultiLvlLbl val="0"/>
      </c:catAx>
      <c:valAx>
        <c:axId val="802105368"/>
        <c:scaling>
          <c:orientation val="minMax"/>
        </c:scaling>
        <c:delete val="0"/>
        <c:axPos val="r"/>
        <c:title>
          <c:tx>
            <c:rich>
              <a:bodyPr rot="0" vert="horz"/>
              <a:lstStyle/>
              <a:p>
                <a:pPr algn="ctr">
                  <a:defRPr sz="1000" b="0" i="0" u="none" strike="noStrike" baseline="0">
                    <a:solidFill>
                      <a:srgbClr val="000000"/>
                    </a:solidFill>
                    <a:latin typeface="Arial"/>
                    <a:ea typeface="Arial"/>
                    <a:cs typeface="Arial"/>
                  </a:defRPr>
                </a:pPr>
                <a:r>
                  <a:rPr lang="en-US" altLang="zh-CN"/>
                  <a:t>%</a:t>
                </a:r>
              </a:p>
            </c:rich>
          </c:tx>
          <c:layout>
            <c:manualLayout>
              <c:xMode val="edge"/>
              <c:yMode val="edge"/>
              <c:x val="0.93570379844651397"/>
              <c:y val="0.11527377521613832"/>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802093608"/>
        <c:crosses val="max"/>
        <c:crossBetween val="between"/>
      </c:valAx>
      <c:spPr>
        <a:noFill/>
        <a:ln w="25400">
          <a:noFill/>
        </a:ln>
      </c:spPr>
    </c:plotArea>
    <c:legend>
      <c:legendPos val="r"/>
      <c:layout>
        <c:manualLayout>
          <c:xMode val="edge"/>
          <c:yMode val="edge"/>
          <c:x val="0.23350289335660451"/>
          <c:y val="0.14121037463976946"/>
          <c:w val="0.49915486452518315"/>
          <c:h val="6.3400576368876083E-2"/>
        </c:manualLayout>
      </c:layout>
      <c:overlay val="0"/>
      <c:spPr>
        <a:solidFill>
          <a:srgbClr val="FFFFFF"/>
        </a:solidFill>
        <a:ln w="25400">
          <a:noFill/>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25" b="1" i="0" u="none" strike="noStrike" baseline="0">
                <a:solidFill>
                  <a:srgbClr val="000000"/>
                </a:solidFill>
                <a:latin typeface="宋体"/>
                <a:ea typeface="宋体"/>
                <a:cs typeface="宋体"/>
              </a:defRPr>
            </a:pPr>
            <a:r>
              <a:rPr lang="zh-CN" altLang="en-US"/>
              <a:t>图</a:t>
            </a:r>
            <a:r>
              <a:rPr lang="en-US" altLang="zh-CN"/>
              <a:t>2    2006—2014</a:t>
            </a:r>
            <a:r>
              <a:rPr lang="zh-CN" altLang="en-US"/>
              <a:t>年居民消费价格涨跌幅度</a:t>
            </a:r>
          </a:p>
        </c:rich>
      </c:tx>
      <c:layout>
        <c:manualLayout>
          <c:xMode val="edge"/>
          <c:yMode val="edge"/>
          <c:x val="0.16202104374884629"/>
          <c:y val="6.1224576952807482E-2"/>
        </c:manualLayout>
      </c:layout>
      <c:overlay val="0"/>
      <c:spPr>
        <a:noFill/>
        <a:ln w="25400">
          <a:noFill/>
        </a:ln>
      </c:spPr>
    </c:title>
    <c:autoTitleDeleted val="0"/>
    <c:plotArea>
      <c:layout>
        <c:manualLayout>
          <c:layoutTarget val="inner"/>
          <c:xMode val="edge"/>
          <c:yMode val="edge"/>
          <c:x val="9.0592411558494693E-2"/>
          <c:y val="0.16909645063156351"/>
          <c:w val="0.88501817445606357"/>
          <c:h val="0.76093402784203579"/>
        </c:manualLayout>
      </c:layout>
      <c:lineChart>
        <c:grouping val="standard"/>
        <c:varyColors val="0"/>
        <c:ser>
          <c:idx val="0"/>
          <c:order val="0"/>
          <c:tx>
            <c:strRef>
              <c:f>'除图5外,其余图在此'!$B$76</c:f>
              <c:strCache>
                <c:ptCount val="1"/>
                <c:pt idx="0">
                  <c:v>价格指数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1956973145475092E-2"/>
                  <c:y val="3.44020792015266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192211024228545E-2"/>
                  <c:y val="6.50145259054292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2599795669094492E-4"/>
                  <c:y val="1.69092775641345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887242029743051E-3"/>
                  <c:y val="5.9766608736149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ltLang="zh-CN"/>
                      <a:t>6.1</a:t>
                    </a:r>
                  </a:p>
                </c:rich>
              </c:tx>
              <c:dLblPos val="t"/>
              <c:showLegendKey val="0"/>
              <c:showVal val="0"/>
              <c:showCatName val="0"/>
              <c:showSerName val="0"/>
              <c:showPercent val="0"/>
              <c:showBubbleSize val="0"/>
              <c:extLst>
                <c:ext xmlns:c15="http://schemas.microsoft.com/office/drawing/2012/chart" uri="{CE6537A1-D6FC-4f65-9D91-7224C49458BB}"/>
              </c:extLst>
            </c:dLbl>
            <c:dLbl>
              <c:idx val="6"/>
              <c:layout>
                <c:manualLayout>
                  <c:x val="-1.5824530806312583E-2"/>
                  <c:y val="-5.68516984438837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6778842192617449E-2"/>
                  <c:y val="3.49853802071785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'除图5外,其余图在此'!$A$78:$A$86</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'除图5外,其余图在此'!$B$78:$B$86</c:f>
              <c:numCache>
                <c:formatCode>General</c:formatCode>
                <c:ptCount val="9"/>
                <c:pt idx="0" formatCode="0.0_ ">
                  <c:v>1</c:v>
                </c:pt>
                <c:pt idx="1">
                  <c:v>3.5</c:v>
                </c:pt>
                <c:pt idx="2">
                  <c:v>4.7</c:v>
                </c:pt>
                <c:pt idx="3" formatCode="0.0_ ">
                  <c:v>-1</c:v>
                </c:pt>
                <c:pt idx="4">
                  <c:v>4.3</c:v>
                </c:pt>
                <c:pt idx="5">
                  <c:v>6.1</c:v>
                </c:pt>
                <c:pt idx="6">
                  <c:v>2.2999999999999998</c:v>
                </c:pt>
                <c:pt idx="7">
                  <c:v>1.9</c:v>
                </c:pt>
                <c:pt idx="8">
                  <c:v>1.8</c:v>
                </c:pt>
              </c:numCache>
            </c:numRef>
          </c:val>
          <c:smooth val="0"/>
        </c:ser>
        <c:dLbls>
          <c:showLegendKey val="0"/>
          <c:showVal val="1"/>
          <c:showCatName val="0"/>
          <c:showSerName val="0"/>
          <c:showPercent val="0"/>
          <c:showBubbleSize val="0"/>
        </c:dLbls>
        <c:marker val="1"/>
        <c:smooth val="0"/>
        <c:axId val="802107328"/>
        <c:axId val="670561440"/>
      </c:lineChart>
      <c:catAx>
        <c:axId val="802107328"/>
        <c:scaling>
          <c:orientation val="minMax"/>
        </c:scaling>
        <c:delete val="0"/>
        <c:axPos val="b"/>
        <c:numFmt formatCode="General" sourceLinked="1"/>
        <c:majorTickMark val="in"/>
        <c:minorTickMark val="none"/>
        <c:tickLblPos val="nextTo"/>
        <c:spPr>
          <a:ln w="12700">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670561440"/>
        <c:crosses val="autoZero"/>
        <c:auto val="1"/>
        <c:lblAlgn val="ctr"/>
        <c:lblOffset val="100"/>
        <c:tickLblSkip val="1"/>
        <c:tickMarkSkip val="1"/>
        <c:noMultiLvlLbl val="0"/>
      </c:catAx>
      <c:valAx>
        <c:axId val="670561440"/>
        <c:scaling>
          <c:orientation val="minMax"/>
        </c:scaling>
        <c:delete val="0"/>
        <c:axPos val="l"/>
        <c:title>
          <c:tx>
            <c:rich>
              <a:bodyPr rot="120000" vert="horz"/>
              <a:lstStyle/>
              <a:p>
                <a:pPr algn="ctr">
                  <a:defRPr sz="1250" b="0" i="0" u="none" strike="noStrike" baseline="0">
                    <a:solidFill>
                      <a:srgbClr val="000000"/>
                    </a:solidFill>
                    <a:latin typeface="宋体"/>
                    <a:ea typeface="宋体"/>
                    <a:cs typeface="宋体"/>
                  </a:defRPr>
                </a:pPr>
                <a:r>
                  <a:rPr lang="en-US" altLang="zh-CN"/>
                  <a:t>%</a:t>
                </a:r>
              </a:p>
            </c:rich>
          </c:tx>
          <c:layout>
            <c:manualLayout>
              <c:xMode val="edge"/>
              <c:yMode val="edge"/>
              <c:x val="3.8327558736286217E-2"/>
              <c:y val="5.8309120907435695E-2"/>
            </c:manualLayout>
          </c:layout>
          <c:overlay val="0"/>
          <c:spPr>
            <a:noFill/>
            <a:ln w="25400">
              <a:noFill/>
            </a:ln>
          </c:spPr>
        </c:title>
        <c:numFmt formatCode="0.0_ " sourceLinked="0"/>
        <c:majorTickMark val="in"/>
        <c:minorTickMark val="none"/>
        <c:tickLblPos val="nextTo"/>
        <c:spPr>
          <a:ln w="12700">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802107328"/>
        <c:crosses val="autoZero"/>
        <c:crossBetween val="between"/>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宋体"/>
          <a:ea typeface="宋体"/>
          <a:cs typeface="宋体"/>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zh-CN" altLang="en-US" sz="1400" b="1" i="0" u="none" strike="noStrike" baseline="0">
                <a:solidFill>
                  <a:srgbClr val="000000"/>
                </a:solidFill>
                <a:latin typeface="宋体"/>
                <a:ea typeface="宋体"/>
              </a:rPr>
              <a:t>图</a:t>
            </a:r>
            <a:r>
              <a:rPr lang="en-US" altLang="zh-CN" sz="1400" b="1" i="0" u="none" strike="noStrike" baseline="0">
                <a:solidFill>
                  <a:srgbClr val="000000"/>
                </a:solidFill>
                <a:latin typeface="宋体"/>
                <a:ea typeface="宋体"/>
              </a:rPr>
              <a:t>3  2006-2014</a:t>
            </a:r>
            <a:r>
              <a:rPr lang="zh-CN" altLang="en-US" sz="1400" b="1" i="0" u="none" strike="noStrike" baseline="0">
                <a:solidFill>
                  <a:srgbClr val="000000"/>
                </a:solidFill>
                <a:latin typeface="宋体"/>
                <a:ea typeface="宋体"/>
              </a:rPr>
              <a:t>年温州市固定资产投资及增长率</a:t>
            </a:r>
          </a:p>
        </c:rich>
      </c:tx>
      <c:layout>
        <c:manualLayout>
          <c:xMode val="edge"/>
          <c:yMode val="edge"/>
          <c:x val="0.14492770529287702"/>
          <c:y val="1.8276762402088774E-2"/>
        </c:manualLayout>
      </c:layout>
      <c:overlay val="0"/>
      <c:spPr>
        <a:noFill/>
        <a:ln w="25400">
          <a:noFill/>
        </a:ln>
      </c:spPr>
    </c:title>
    <c:autoTitleDeleted val="0"/>
    <c:plotArea>
      <c:layout>
        <c:manualLayout>
          <c:layoutTarget val="inner"/>
          <c:xMode val="edge"/>
          <c:yMode val="edge"/>
          <c:x val="8.3736041503185241E-2"/>
          <c:y val="0.23237597911227154"/>
          <c:w val="0.84541195748408171"/>
          <c:h val="0.65796344647519578"/>
        </c:manualLayout>
      </c:layout>
      <c:barChart>
        <c:barDir val="col"/>
        <c:grouping val="clustered"/>
        <c:varyColors val="0"/>
        <c:ser>
          <c:idx val="1"/>
          <c:order val="0"/>
          <c:tx>
            <c:strRef>
              <c:f>'除图5外,其余图在此'!$B$23</c:f>
              <c:strCache>
                <c:ptCount val="1"/>
                <c:pt idx="0">
                  <c:v>限额以上固定资产投资</c:v>
                </c:pt>
              </c:strCache>
            </c:strRef>
          </c:tx>
          <c:spPr>
            <a:solidFill>
              <a:srgbClr val="993366"/>
            </a:solidFill>
            <a:ln w="12700">
              <a:solidFill>
                <a:srgbClr val="000000"/>
              </a:solidFill>
              <a:prstDash val="solid"/>
            </a:ln>
          </c:spPr>
          <c:invertIfNegative val="0"/>
          <c:dLbls>
            <c:dLbl>
              <c:idx val="0"/>
              <c:layout>
                <c:manualLayout>
                  <c:x val="-1.1506967426173178E-2"/>
                  <c:y val="1.169657970299404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097215440365702E-3"/>
                  <c:y val="-1.5405385031840154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6907617795243819E-4"/>
                  <c:y val="5.34007661574939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9549239428025975"/>
                  <c:y val="0.50652741514360311"/>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83897072352229818"/>
                  <c:y val="0.21409921671018275"/>
                </c:manualLayout>
              </c:layout>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'除图5外,其余图在此'!$B$25:$B$33</c:f>
              <c:numCache>
                <c:formatCode>0_ </c:formatCode>
                <c:ptCount val="9"/>
                <c:pt idx="0">
                  <c:v>557.88</c:v>
                </c:pt>
                <c:pt idx="1">
                  <c:v>640.59</c:v>
                </c:pt>
                <c:pt idx="2">
                  <c:v>655.84</c:v>
                </c:pt>
                <c:pt idx="3">
                  <c:v>724.48</c:v>
                </c:pt>
                <c:pt idx="4">
                  <c:v>802</c:v>
                </c:pt>
                <c:pt idx="5">
                  <c:v>1540.31</c:v>
                </c:pt>
                <c:pt idx="6">
                  <c:v>2110.34</c:v>
                </c:pt>
                <c:pt idx="7">
                  <c:v>2618.16</c:v>
                </c:pt>
                <c:pt idx="8">
                  <c:v>3052.81</c:v>
                </c:pt>
              </c:numCache>
            </c:numRef>
          </c:val>
        </c:ser>
        <c:dLbls>
          <c:showLegendKey val="0"/>
          <c:showVal val="0"/>
          <c:showCatName val="0"/>
          <c:showSerName val="0"/>
          <c:showPercent val="0"/>
          <c:showBubbleSize val="0"/>
        </c:dLbls>
        <c:gapWidth val="120"/>
        <c:axId val="670562616"/>
        <c:axId val="670564184"/>
      </c:barChart>
      <c:lineChart>
        <c:grouping val="standard"/>
        <c:varyColors val="0"/>
        <c:ser>
          <c:idx val="0"/>
          <c:order val="1"/>
          <c:tx>
            <c:strRef>
              <c:f>'除图5外,其余图在此'!$C$23</c:f>
              <c:strCache>
                <c:ptCount val="1"/>
                <c:pt idx="0">
                  <c:v>比上年增长</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7272026148617937E-2"/>
                  <c:y val="4.46353213681187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66814220997483E-2"/>
                  <c:y val="3.48422113032214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064258271331751E-2"/>
                  <c:y val="-3.44655743097387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460374332688643E-2"/>
                  <c:y val="-4.19445872138045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07710737493733E-2"/>
                  <c:y val="-3.11575282854656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0951552678332622E-2"/>
                  <c:y val="6.335944299390784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2734781791795886E-3"/>
                  <c:y val="1.44821583986074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7.7163972124695817E-4"/>
                  <c:y val="-1.2114882506527412E-2"/>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1401050714071371E-2"/>
                  <c:y val="4.877284595300261E-2"/>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2769856408917708"/>
                  <c:y val="0.74412532637075723"/>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85507380842675695"/>
                  <c:y val="0.12271540469973891"/>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numFmt formatCode="0.0_);[Red]\(0.0\)" sourceLinked="0"/>
            <c:spPr>
              <a:noFill/>
              <a:ln w="25400">
                <a:noFill/>
              </a:ln>
            </c:spPr>
            <c:txPr>
              <a:bodyPr/>
              <a:lstStyle/>
              <a:p>
                <a:pPr>
                  <a:defRPr sz="10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'除图5外,其余图在此'!$A$25:$A$33</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'除图5外,其余图在此'!$C$25:$C$33</c:f>
              <c:numCache>
                <c:formatCode>0.0_ </c:formatCode>
                <c:ptCount val="9"/>
                <c:pt idx="0">
                  <c:v>19.7</c:v>
                </c:pt>
                <c:pt idx="1">
                  <c:v>14.8</c:v>
                </c:pt>
                <c:pt idx="2">
                  <c:v>2.4</c:v>
                </c:pt>
                <c:pt idx="3">
                  <c:v>10.465967309099796</c:v>
                </c:pt>
                <c:pt idx="4" formatCode="General">
                  <c:v>10.7</c:v>
                </c:pt>
                <c:pt idx="5" formatCode="General">
                  <c:v>92.1</c:v>
                </c:pt>
                <c:pt idx="6" formatCode="General">
                  <c:v>37</c:v>
                </c:pt>
                <c:pt idx="7" formatCode="General">
                  <c:v>24.1</c:v>
                </c:pt>
                <c:pt idx="8" formatCode="General">
                  <c:v>16.600000000000001</c:v>
                </c:pt>
              </c:numCache>
            </c:numRef>
          </c:val>
          <c:smooth val="0"/>
        </c:ser>
        <c:dLbls>
          <c:showLegendKey val="0"/>
          <c:showVal val="0"/>
          <c:showCatName val="0"/>
          <c:showSerName val="0"/>
          <c:showPercent val="0"/>
          <c:showBubbleSize val="0"/>
        </c:dLbls>
        <c:marker val="1"/>
        <c:smooth val="0"/>
        <c:axId val="670566144"/>
        <c:axId val="670565752"/>
      </c:lineChart>
      <c:catAx>
        <c:axId val="6705626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4184"/>
        <c:crosses val="autoZero"/>
        <c:auto val="0"/>
        <c:lblAlgn val="ctr"/>
        <c:lblOffset val="100"/>
        <c:tickLblSkip val="1"/>
        <c:tickMarkSkip val="1"/>
        <c:noMultiLvlLbl val="0"/>
      </c:catAx>
      <c:valAx>
        <c:axId val="670564184"/>
        <c:scaling>
          <c:orientation val="minMax"/>
        </c:scaling>
        <c:delete val="0"/>
        <c:axPos val="l"/>
        <c:title>
          <c:tx>
            <c:rich>
              <a:bodyPr rot="0" vert="horz"/>
              <a:lstStyle/>
              <a:p>
                <a:pPr algn="ctr">
                  <a:defRPr sz="1000" b="0" i="0" u="none" strike="noStrike" baseline="0">
                    <a:solidFill>
                      <a:srgbClr val="000000"/>
                    </a:solidFill>
                    <a:latin typeface="宋体"/>
                    <a:ea typeface="宋体"/>
                    <a:cs typeface="宋体"/>
                  </a:defRPr>
                </a:pPr>
                <a:r>
                  <a:rPr lang="zh-CN" altLang="en-US"/>
                  <a:t>亿元</a:t>
                </a:r>
              </a:p>
            </c:rich>
          </c:tx>
          <c:layout>
            <c:manualLayout>
              <c:xMode val="edge"/>
              <c:yMode val="edge"/>
              <c:x val="3.0595813204508857E-2"/>
              <c:y val="0.1514360313315927"/>
            </c:manualLayout>
          </c:layout>
          <c:overlay val="0"/>
          <c:spPr>
            <a:noFill/>
            <a:ln w="25400">
              <a:noFill/>
            </a:ln>
          </c:spPr>
        </c:title>
        <c:numFmt formatCode="0_ "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2616"/>
        <c:crosses val="autoZero"/>
        <c:crossBetween val="between"/>
      </c:valAx>
      <c:catAx>
        <c:axId val="670566144"/>
        <c:scaling>
          <c:orientation val="minMax"/>
        </c:scaling>
        <c:delete val="1"/>
        <c:axPos val="b"/>
        <c:numFmt formatCode="General" sourceLinked="1"/>
        <c:majorTickMark val="out"/>
        <c:minorTickMark val="none"/>
        <c:tickLblPos val="nextTo"/>
        <c:crossAx val="670565752"/>
        <c:crosses val="autoZero"/>
        <c:auto val="0"/>
        <c:lblAlgn val="ctr"/>
        <c:lblOffset val="100"/>
        <c:noMultiLvlLbl val="0"/>
      </c:catAx>
      <c:valAx>
        <c:axId val="670565752"/>
        <c:scaling>
          <c:orientation val="minMax"/>
          <c:max val="100"/>
        </c:scaling>
        <c:delete val="0"/>
        <c:axPos val="r"/>
        <c:title>
          <c:tx>
            <c:rich>
              <a:bodyPr rot="0" vert="horz"/>
              <a:lstStyle/>
              <a:p>
                <a:pPr algn="ctr">
                  <a:defRPr sz="1100" b="0" i="0" u="none" strike="noStrike" baseline="0">
                    <a:solidFill>
                      <a:srgbClr val="000000"/>
                    </a:solidFill>
                    <a:latin typeface="宋体"/>
                    <a:ea typeface="宋体"/>
                    <a:cs typeface="宋体"/>
                  </a:defRPr>
                </a:pPr>
                <a:r>
                  <a:rPr lang="en-US" altLang="zh-CN"/>
                  <a:t>%</a:t>
                </a:r>
              </a:p>
            </c:rich>
          </c:tx>
          <c:layout>
            <c:manualLayout>
              <c:xMode val="edge"/>
              <c:yMode val="edge"/>
              <c:x val="0.92753775343299483"/>
              <c:y val="0.14099216710182769"/>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6144"/>
        <c:crosses val="max"/>
        <c:crossBetween val="between"/>
      </c:valAx>
      <c:spPr>
        <a:noFill/>
        <a:ln w="25400">
          <a:noFill/>
        </a:ln>
      </c:spPr>
    </c:plotArea>
    <c:legend>
      <c:legendPos val="t"/>
      <c:layout>
        <c:manualLayout>
          <c:xMode val="edge"/>
          <c:yMode val="edge"/>
          <c:x val="0.23832561992552861"/>
          <c:y val="0.13315926892950392"/>
          <c:w val="0.54750487106986023"/>
          <c:h val="5.2219321148825076E-2"/>
        </c:manualLayout>
      </c:layout>
      <c:overlay val="0"/>
      <c:spPr>
        <a:solidFill>
          <a:srgbClr val="FFFFFF"/>
        </a:solidFill>
        <a:ln w="25400">
          <a:noFill/>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宋体"/>
                <a:ea typeface="宋体"/>
                <a:cs typeface="宋体"/>
              </a:defRPr>
            </a:pPr>
            <a:r>
              <a:rPr lang="zh-CN" altLang="en-US" sz="1400" b="1" i="0" u="none" strike="noStrike" baseline="0">
                <a:solidFill>
                  <a:srgbClr val="000000"/>
                </a:solidFill>
                <a:latin typeface="宋体"/>
                <a:ea typeface="宋体"/>
              </a:rPr>
              <a:t>图</a:t>
            </a:r>
            <a:r>
              <a:rPr lang="en-US" altLang="zh-CN" sz="1400" b="1" i="0" u="none" strike="noStrike" baseline="0">
                <a:solidFill>
                  <a:srgbClr val="000000"/>
                </a:solidFill>
                <a:latin typeface="宋体"/>
                <a:ea typeface="宋体"/>
              </a:rPr>
              <a:t>4   2006-2014</a:t>
            </a:r>
            <a:r>
              <a:rPr lang="zh-CN" altLang="en-US" sz="1400" b="1" i="0" u="none" strike="noStrike" baseline="0">
                <a:solidFill>
                  <a:srgbClr val="000000"/>
                </a:solidFill>
                <a:latin typeface="宋体"/>
                <a:ea typeface="宋体"/>
              </a:rPr>
              <a:t>年温州市财政收入及增长率</a:t>
            </a:r>
          </a:p>
        </c:rich>
      </c:tx>
      <c:layout>
        <c:manualLayout>
          <c:xMode val="edge"/>
          <c:yMode val="edge"/>
          <c:x val="0.17965023847376788"/>
          <c:y val="1.4005602240896359E-2"/>
        </c:manualLayout>
      </c:layout>
      <c:overlay val="0"/>
      <c:spPr>
        <a:noFill/>
        <a:ln w="25400">
          <a:noFill/>
        </a:ln>
      </c:spPr>
    </c:title>
    <c:autoTitleDeleted val="0"/>
    <c:plotArea>
      <c:layout>
        <c:manualLayout>
          <c:layoutTarget val="inner"/>
          <c:xMode val="edge"/>
          <c:yMode val="edge"/>
          <c:x val="7.7901430842607311E-2"/>
          <c:y val="0.19888009585110253"/>
          <c:w val="0.85691573926868048"/>
          <c:h val="0.6946797714235694"/>
        </c:manualLayout>
      </c:layout>
      <c:barChart>
        <c:barDir val="col"/>
        <c:grouping val="clustered"/>
        <c:varyColors val="0"/>
        <c:ser>
          <c:idx val="1"/>
          <c:order val="0"/>
          <c:tx>
            <c:strRef>
              <c:f>'除图5外,其余图在此'!$B$38</c:f>
              <c:strCache>
                <c:ptCount val="1"/>
                <c:pt idx="0">
                  <c:v>财政总收入</c:v>
                </c:pt>
              </c:strCache>
            </c:strRef>
          </c:tx>
          <c:spPr>
            <a:solidFill>
              <a:srgbClr val="993366"/>
            </a:solidFill>
            <a:ln w="12700">
              <a:solidFill>
                <a:srgbClr val="000000"/>
              </a:solidFill>
              <a:prstDash val="solid"/>
            </a:ln>
          </c:spPr>
          <c:invertIfNegative val="0"/>
          <c:dLbls>
            <c:dLbl>
              <c:idx val="2"/>
              <c:layout>
                <c:manualLayout>
                  <c:x val="-2.6132719101686207E-2"/>
                  <c:y val="2.45866975384772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879277610171696E-3"/>
                  <c:y val="6.80909890559182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'除图5外,其余图在此'!$A$40:$A$48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'除图5外,其余图在此'!$B$40:$B$48</c:f>
              <c:numCache>
                <c:formatCode>0_ </c:formatCode>
                <c:ptCount val="9"/>
                <c:pt idx="0">
                  <c:v>241.08940000000001</c:v>
                </c:pt>
                <c:pt idx="1">
                  <c:v>293.26060000000001</c:v>
                </c:pt>
                <c:pt idx="2">
                  <c:v>339.7842</c:v>
                </c:pt>
                <c:pt idx="3">
                  <c:v>360.72</c:v>
                </c:pt>
                <c:pt idx="4">
                  <c:v>411.43</c:v>
                </c:pt>
                <c:pt idx="5">
                  <c:v>485.62</c:v>
                </c:pt>
                <c:pt idx="6">
                  <c:v>517.89</c:v>
                </c:pt>
                <c:pt idx="7">
                  <c:v>565.63</c:v>
                </c:pt>
                <c:pt idx="8">
                  <c:v>612</c:v>
                </c:pt>
              </c:numCache>
            </c:numRef>
          </c:val>
        </c:ser>
        <c:dLbls>
          <c:showLegendKey val="0"/>
          <c:showVal val="0"/>
          <c:showCatName val="0"/>
          <c:showSerName val="0"/>
          <c:showPercent val="0"/>
          <c:showBubbleSize val="0"/>
        </c:dLbls>
        <c:gapWidth val="120"/>
        <c:axId val="670567712"/>
        <c:axId val="670562224"/>
      </c:barChart>
      <c:lineChart>
        <c:grouping val="standard"/>
        <c:varyColors val="0"/>
        <c:ser>
          <c:idx val="0"/>
          <c:order val="1"/>
          <c:tx>
            <c:strRef>
              <c:f>'除图5外,其余图在此'!$C$38</c:f>
              <c:strCache>
                <c:ptCount val="1"/>
                <c:pt idx="0">
                  <c:v>比上年增长</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7060075360214316E-2"/>
                  <c:y val="3.85216054305115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791436642756686E-2"/>
                  <c:y val="-2.50981274784855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2950440018527095E-2"/>
                  <c:y val="-5.38132907990368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7923963797053192E-2"/>
                  <c:y val="5.84641625679143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630926897253921E-2"/>
                  <c:y val="5.10550464137460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8586432657761911E-2"/>
                  <c:y val="5.080859023898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7426402780733965E-3"/>
                  <c:y val="-1.102521718347812E-2"/>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0824914771186193E-2"/>
                  <c:y val="-6.0125131417396289E-2"/>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7.0561696481103636E-2"/>
                  <c:y val="0.59944141566388653"/>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87599364069952301"/>
                  <c:y val="0.45378275391378325"/>
                </c:manualLayout>
              </c:layout>
              <c:numFmt formatCode="0.0_);[Red]\(0.0\)"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numFmt formatCode="0.0_);[Red]\(0.0\)" sourceLinked="0"/>
            <c:spPr>
              <a:noFill/>
              <a:ln w="25400">
                <a:noFill/>
              </a:ln>
            </c:spPr>
            <c:txPr>
              <a:bodyPr/>
              <a:lstStyle/>
              <a:p>
                <a:pPr>
                  <a:defRPr sz="10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'除图5外,其余图在此'!$A$40:$A$48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'除图5外,其余图在此'!$C$40:$C$48</c:f>
              <c:numCache>
                <c:formatCode>0.0_ </c:formatCode>
                <c:ptCount val="9"/>
                <c:pt idx="0">
                  <c:v>17.649751392363797</c:v>
                </c:pt>
                <c:pt idx="1">
                  <c:v>21.639773461628749</c:v>
                </c:pt>
                <c:pt idx="2">
                  <c:v>15.864251795161024</c:v>
                </c:pt>
                <c:pt idx="3">
                  <c:v>6.1614989749376292</c:v>
                </c:pt>
                <c:pt idx="4" formatCode="General">
                  <c:v>14.1</c:v>
                </c:pt>
                <c:pt idx="5" formatCode="General">
                  <c:v>18</c:v>
                </c:pt>
                <c:pt idx="6" formatCode="General">
                  <c:v>6.6</c:v>
                </c:pt>
                <c:pt idx="7" formatCode="General">
                  <c:v>9.1999999999999993</c:v>
                </c:pt>
                <c:pt idx="8" formatCode="General">
                  <c:v>8.3000000000000007</c:v>
                </c:pt>
              </c:numCache>
            </c:numRef>
          </c:val>
          <c:smooth val="0"/>
        </c:ser>
        <c:dLbls>
          <c:showLegendKey val="0"/>
          <c:showVal val="0"/>
          <c:showCatName val="0"/>
          <c:showSerName val="0"/>
          <c:showPercent val="0"/>
          <c:showBubbleSize val="0"/>
        </c:dLbls>
        <c:marker val="1"/>
        <c:smooth val="0"/>
        <c:axId val="670568104"/>
        <c:axId val="670564576"/>
      </c:lineChart>
      <c:catAx>
        <c:axId val="67056771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2224"/>
        <c:crosses val="autoZero"/>
        <c:auto val="0"/>
        <c:lblAlgn val="ctr"/>
        <c:lblOffset val="100"/>
        <c:tickLblSkip val="1"/>
        <c:tickMarkSkip val="1"/>
        <c:noMultiLvlLbl val="0"/>
      </c:catAx>
      <c:valAx>
        <c:axId val="670562224"/>
        <c:scaling>
          <c:orientation val="minMax"/>
        </c:scaling>
        <c:delete val="0"/>
        <c:axPos val="l"/>
        <c:title>
          <c:tx>
            <c:rich>
              <a:bodyPr rot="0" vert="horz"/>
              <a:lstStyle/>
              <a:p>
                <a:pPr algn="ctr">
                  <a:defRPr sz="1000" b="0" i="0" u="none" strike="noStrike" baseline="0">
                    <a:solidFill>
                      <a:srgbClr val="000000"/>
                    </a:solidFill>
                    <a:latin typeface="宋体"/>
                    <a:ea typeface="宋体"/>
                    <a:cs typeface="宋体"/>
                  </a:defRPr>
                </a:pPr>
                <a:r>
                  <a:rPr lang="zh-CN" altLang="en-US"/>
                  <a:t>亿元</a:t>
                </a:r>
              </a:p>
            </c:rich>
          </c:tx>
          <c:layout>
            <c:manualLayout>
              <c:xMode val="edge"/>
              <c:yMode val="edge"/>
              <c:x val="2.8616852146263912E-2"/>
              <c:y val="0.10924399155987854"/>
            </c:manualLayout>
          </c:layout>
          <c:overlay val="0"/>
          <c:spPr>
            <a:noFill/>
            <a:ln w="25400">
              <a:noFill/>
            </a:ln>
          </c:spPr>
        </c:title>
        <c:numFmt formatCode="0_ "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7712"/>
        <c:crosses val="autoZero"/>
        <c:crossBetween val="between"/>
      </c:valAx>
      <c:catAx>
        <c:axId val="670568104"/>
        <c:scaling>
          <c:orientation val="minMax"/>
        </c:scaling>
        <c:delete val="1"/>
        <c:axPos val="b"/>
        <c:numFmt formatCode="General" sourceLinked="1"/>
        <c:majorTickMark val="out"/>
        <c:minorTickMark val="none"/>
        <c:tickLblPos val="nextTo"/>
        <c:crossAx val="670564576"/>
        <c:crosses val="autoZero"/>
        <c:auto val="0"/>
        <c:lblAlgn val="ctr"/>
        <c:lblOffset val="100"/>
        <c:noMultiLvlLbl val="0"/>
      </c:catAx>
      <c:valAx>
        <c:axId val="670564576"/>
        <c:scaling>
          <c:orientation val="minMax"/>
        </c:scaling>
        <c:delete val="0"/>
        <c:axPos val="r"/>
        <c:title>
          <c:tx>
            <c:rich>
              <a:bodyPr rot="0" vert="horz"/>
              <a:lstStyle/>
              <a:p>
                <a:pPr algn="ctr">
                  <a:defRPr sz="1100" b="0" i="0" u="none" strike="noStrike" baseline="0">
                    <a:solidFill>
                      <a:srgbClr val="000000"/>
                    </a:solidFill>
                    <a:latin typeface="宋体"/>
                    <a:ea typeface="宋体"/>
                    <a:cs typeface="宋体"/>
                  </a:defRPr>
                </a:pPr>
                <a:r>
                  <a:rPr lang="en-US" altLang="zh-CN"/>
                  <a:t>%</a:t>
                </a:r>
              </a:p>
            </c:rich>
          </c:tx>
          <c:layout>
            <c:manualLayout>
              <c:xMode val="edge"/>
              <c:yMode val="edge"/>
              <c:x val="0.93640699523052462"/>
              <c:y val="0.10644287111169927"/>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670568104"/>
        <c:crosses val="max"/>
        <c:crossBetween val="between"/>
      </c:valAx>
      <c:spPr>
        <a:noFill/>
        <a:ln w="25400">
          <a:noFill/>
        </a:ln>
      </c:spPr>
    </c:plotArea>
    <c:legend>
      <c:legendPos val="r"/>
      <c:layout>
        <c:manualLayout>
          <c:xMode val="edge"/>
          <c:yMode val="edge"/>
          <c:x val="0.29093799682034976"/>
          <c:y val="0.14005631648985051"/>
          <c:w val="0.48330683624801268"/>
          <c:h val="5.6022703044472377E-2"/>
        </c:manualLayout>
      </c:layout>
      <c:overlay val="0"/>
      <c:spPr>
        <a:solidFill>
          <a:srgbClr val="FFFFFF"/>
        </a:solidFill>
        <a:ln w="25400">
          <a:noFill/>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20</Pages>
  <Words>1475</Words>
  <Characters>8411</Characters>
  <Application>Microsoft Office Word</Application>
  <DocSecurity>0</DocSecurity>
  <Lines>70</Lines>
  <Paragraphs>19</Paragraphs>
  <ScaleCrop>false</ScaleCrop>
  <Company>国家统计局</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hesunmiao</dc:creator>
  <cp:keywords/>
  <dc:description/>
  <cp:lastModifiedBy>hesunmiao</cp:lastModifiedBy>
  <cp:revision>2</cp:revision>
  <dcterms:created xsi:type="dcterms:W3CDTF">2016-02-03T11:44:00Z</dcterms:created>
  <dcterms:modified xsi:type="dcterms:W3CDTF">2016-02-03T11:56:00Z</dcterms:modified>
</cp:coreProperties>
</file>